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56" w:rsidRPr="00877C0B" w:rsidRDefault="00724856" w:rsidP="00EF5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877C0B">
        <w:rPr>
          <w:rFonts w:ascii="Arial" w:hAnsi="Arial" w:cs="Arial"/>
          <w:b/>
          <w:sz w:val="25"/>
          <w:szCs w:val="25"/>
        </w:rPr>
        <w:t xml:space="preserve">PORTARIA </w:t>
      </w:r>
      <w:r w:rsidR="0058246D" w:rsidRPr="00877C0B">
        <w:rPr>
          <w:rFonts w:ascii="Arial" w:hAnsi="Arial" w:cs="Arial"/>
          <w:b/>
          <w:sz w:val="25"/>
          <w:szCs w:val="25"/>
        </w:rPr>
        <w:t>ARTESP Nº</w:t>
      </w:r>
      <w:r w:rsidR="0085540C">
        <w:rPr>
          <w:rFonts w:ascii="Arial" w:hAnsi="Arial" w:cs="Arial"/>
          <w:b/>
          <w:sz w:val="25"/>
          <w:szCs w:val="25"/>
        </w:rPr>
        <w:t xml:space="preserve"> </w:t>
      </w:r>
      <w:r w:rsidR="00ED391C">
        <w:rPr>
          <w:rFonts w:ascii="Arial" w:hAnsi="Arial" w:cs="Arial"/>
          <w:b/>
          <w:sz w:val="25"/>
          <w:szCs w:val="25"/>
        </w:rPr>
        <w:t>20</w:t>
      </w:r>
      <w:r w:rsidR="005614E0" w:rsidRPr="00877C0B">
        <w:rPr>
          <w:rFonts w:ascii="Arial" w:hAnsi="Arial" w:cs="Arial"/>
          <w:b/>
          <w:sz w:val="25"/>
          <w:szCs w:val="25"/>
        </w:rPr>
        <w:t xml:space="preserve">, </w:t>
      </w:r>
      <w:r w:rsidR="0058246D" w:rsidRPr="00877C0B">
        <w:rPr>
          <w:rFonts w:ascii="Arial" w:hAnsi="Arial" w:cs="Arial"/>
          <w:b/>
          <w:sz w:val="25"/>
          <w:szCs w:val="25"/>
        </w:rPr>
        <w:t>DE</w:t>
      </w:r>
      <w:r w:rsidR="00E6281F" w:rsidRPr="00877C0B">
        <w:rPr>
          <w:rFonts w:ascii="Arial" w:hAnsi="Arial" w:cs="Arial"/>
          <w:b/>
          <w:sz w:val="25"/>
          <w:szCs w:val="25"/>
        </w:rPr>
        <w:t xml:space="preserve"> </w:t>
      </w:r>
      <w:r w:rsidR="00ED391C">
        <w:rPr>
          <w:rFonts w:ascii="Arial" w:hAnsi="Arial" w:cs="Arial"/>
          <w:b/>
          <w:sz w:val="25"/>
          <w:szCs w:val="25"/>
        </w:rPr>
        <w:t>29</w:t>
      </w:r>
      <w:r w:rsidR="000B5D2C" w:rsidRPr="00877C0B">
        <w:rPr>
          <w:rFonts w:ascii="Arial" w:hAnsi="Arial" w:cs="Arial"/>
          <w:b/>
          <w:sz w:val="25"/>
          <w:szCs w:val="25"/>
        </w:rPr>
        <w:t xml:space="preserve"> </w:t>
      </w:r>
      <w:r w:rsidR="0058246D" w:rsidRPr="00877C0B">
        <w:rPr>
          <w:rFonts w:ascii="Arial" w:hAnsi="Arial" w:cs="Arial"/>
          <w:b/>
          <w:sz w:val="25"/>
          <w:szCs w:val="25"/>
        </w:rPr>
        <w:t xml:space="preserve">DE </w:t>
      </w:r>
      <w:r w:rsidR="00ED391C">
        <w:rPr>
          <w:rFonts w:ascii="Arial" w:hAnsi="Arial" w:cs="Arial"/>
          <w:b/>
          <w:sz w:val="25"/>
          <w:szCs w:val="25"/>
        </w:rPr>
        <w:t>JUNHO</w:t>
      </w:r>
      <w:r w:rsidR="0058246D" w:rsidRPr="00877C0B">
        <w:rPr>
          <w:rFonts w:ascii="Arial" w:hAnsi="Arial" w:cs="Arial"/>
          <w:b/>
          <w:sz w:val="25"/>
          <w:szCs w:val="25"/>
        </w:rPr>
        <w:t xml:space="preserve"> DE 201</w:t>
      </w:r>
      <w:r w:rsidR="00706DF2">
        <w:rPr>
          <w:rFonts w:ascii="Arial" w:hAnsi="Arial" w:cs="Arial"/>
          <w:b/>
          <w:sz w:val="25"/>
          <w:szCs w:val="25"/>
        </w:rPr>
        <w:t>6</w:t>
      </w:r>
      <w:r w:rsidRPr="00877C0B">
        <w:rPr>
          <w:rFonts w:ascii="Arial" w:hAnsi="Arial" w:cs="Arial"/>
          <w:b/>
          <w:sz w:val="25"/>
          <w:szCs w:val="25"/>
        </w:rPr>
        <w:t xml:space="preserve">                                  </w:t>
      </w:r>
    </w:p>
    <w:p w:rsidR="00ED391C" w:rsidRPr="00C130C1" w:rsidRDefault="00ED391C" w:rsidP="00ED391C">
      <w:pPr>
        <w:ind w:left="3540"/>
        <w:jc w:val="both"/>
        <w:rPr>
          <w:b/>
        </w:rPr>
      </w:pPr>
      <w:r w:rsidRPr="00C130C1">
        <w:rPr>
          <w:b/>
        </w:rPr>
        <w:t>Dispõe sobre os preços das passagens do serviço intermunicipal de transporte coletivo de passageiros das linhas outorgadas pelo DER/SP e assumidas pela ARTESP.</w:t>
      </w:r>
    </w:p>
    <w:p w:rsidR="00ED391C" w:rsidRDefault="00ED391C" w:rsidP="00ED391C">
      <w:pPr>
        <w:ind w:left="3540"/>
        <w:jc w:val="both"/>
        <w:rPr>
          <w:b/>
        </w:rPr>
      </w:pPr>
    </w:p>
    <w:p w:rsidR="00ED391C" w:rsidRDefault="00ED391C" w:rsidP="00ED391C">
      <w:pPr>
        <w:ind w:left="3540"/>
        <w:jc w:val="both"/>
        <w:rPr>
          <w:b/>
        </w:rPr>
      </w:pPr>
    </w:p>
    <w:p w:rsidR="00ED391C" w:rsidRPr="00C130C1" w:rsidRDefault="00ED391C" w:rsidP="00ED391C">
      <w:pPr>
        <w:ind w:left="3540"/>
        <w:jc w:val="both"/>
        <w:rPr>
          <w:b/>
        </w:rPr>
      </w:pPr>
    </w:p>
    <w:p w:rsidR="00ED391C" w:rsidRDefault="00ED391C" w:rsidP="00ED391C">
      <w:pPr>
        <w:pStyle w:val="Recuodecorpodetexto"/>
        <w:ind w:left="0" w:firstLine="993"/>
        <w:jc w:val="both"/>
        <w:rPr>
          <w:b/>
        </w:rPr>
      </w:pPr>
    </w:p>
    <w:p w:rsidR="00ED391C" w:rsidRDefault="00ED391C" w:rsidP="00CB5BE7">
      <w:pPr>
        <w:autoSpaceDE w:val="0"/>
        <w:autoSpaceDN w:val="0"/>
        <w:adjustRightInd w:val="0"/>
        <w:jc w:val="both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O </w:t>
      </w:r>
      <w:r>
        <w:rPr>
          <w:rFonts w:ascii="Helvetica-Bold" w:hAnsi="Helvetica-Bold" w:cs="Helvetica-Bold"/>
          <w:b/>
          <w:bCs/>
          <w:sz w:val="26"/>
          <w:szCs w:val="26"/>
        </w:rPr>
        <w:t xml:space="preserve">DIRETOR GERAL </w:t>
      </w:r>
      <w:r>
        <w:rPr>
          <w:rFonts w:ascii="Helvetica" w:hAnsi="Helvetica" w:cs="Helvetica"/>
          <w:sz w:val="26"/>
          <w:szCs w:val="26"/>
        </w:rPr>
        <w:t xml:space="preserve">da </w:t>
      </w:r>
      <w:r>
        <w:rPr>
          <w:rFonts w:ascii="Helvetica-Oblique" w:hAnsi="Helvetica-Oblique" w:cs="Helvetica-Oblique"/>
          <w:i/>
          <w:iCs/>
          <w:sz w:val="26"/>
          <w:szCs w:val="26"/>
        </w:rPr>
        <w:t>Agência Reguladora de Serviços Públicos Delegados de Transporte do Estado de São Paulo – ARTESP</w:t>
      </w:r>
      <w:r>
        <w:rPr>
          <w:rFonts w:ascii="Helvetica" w:hAnsi="Helvetica" w:cs="Helvetica"/>
          <w:sz w:val="26"/>
          <w:szCs w:val="26"/>
        </w:rPr>
        <w:t>, de acordo com as disposições da Lei complementar nº 914/02 e do Decreto nº 29.913/89 e consoante deliberação tomada na 693</w:t>
      </w:r>
      <w:r w:rsidRPr="00ED391C">
        <w:rPr>
          <w:rFonts w:ascii="Helvetica" w:hAnsi="Helvetica" w:cs="Helvetica"/>
          <w:sz w:val="26"/>
          <w:szCs w:val="26"/>
        </w:rPr>
        <w:t>ª</w:t>
      </w:r>
      <w:r>
        <w:rPr>
          <w:rFonts w:ascii="Helvetica" w:hAnsi="Helvetica" w:cs="Helvetica"/>
          <w:sz w:val="26"/>
          <w:szCs w:val="26"/>
        </w:rPr>
        <w:t xml:space="preserve"> reunião do Conselho Diretor, de 29 de junho</w:t>
      </w:r>
      <w:r>
        <w:rPr>
          <w:rFonts w:ascii="Helvetica" w:hAnsi="Helvetica" w:cs="Helvetica"/>
          <w:color w:val="FF0000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de 2016,</w:t>
      </w:r>
    </w:p>
    <w:p w:rsidR="00ED391C" w:rsidRDefault="00ED391C" w:rsidP="00ED391C">
      <w:p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ED391C" w:rsidRPr="00937581" w:rsidRDefault="00ED391C" w:rsidP="00ED391C">
      <w:pPr>
        <w:jc w:val="center"/>
      </w:pPr>
      <w:r>
        <w:rPr>
          <w:rFonts w:ascii="Helvetica-Bold" w:hAnsi="Helvetica-Bold" w:cs="Helvetica-Bold"/>
          <w:b/>
          <w:bCs/>
          <w:sz w:val="26"/>
          <w:szCs w:val="26"/>
        </w:rPr>
        <w:t>DECIDE:</w:t>
      </w:r>
    </w:p>
    <w:p w:rsidR="00ED391C" w:rsidRDefault="00ED391C" w:rsidP="00ED391C">
      <w:pPr>
        <w:jc w:val="center"/>
      </w:pP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 -</w:t>
      </w:r>
      <w:r>
        <w:t xml:space="preserve"> Ficam aprovados e aplicáveis a qualquer tipo de piso de rolamento da malha viária do Estado, os preços das passagens para o serviço intermunicipal de transporte coletivo de passageiros, de conformidade com os valores constantes dos Anexos I e II que integram a presente portaria.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§ 1º -</w:t>
      </w:r>
      <w:r>
        <w:t xml:space="preserve"> Os preços constantes dos referidos Anexos constituem os valores máximos finais a serem pagos pelos passageiros, exceto nas linhas que tenham </w:t>
      </w:r>
      <w:r w:rsidRPr="00F7624F">
        <w:t>taxa de embarque em terminais rodoviários, seguro facultativo,</w:t>
      </w:r>
      <w:r>
        <w:rPr>
          <w:color w:val="FF0000"/>
        </w:rPr>
        <w:t xml:space="preserve"> </w:t>
      </w:r>
      <w:r>
        <w:t>pedágio, ou se utilizem de serviços de balsa.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§ 2º -</w:t>
      </w:r>
      <w:r>
        <w:t xml:space="preserve"> As bases tarifárias foram reajustadas, na média, em 9,56</w:t>
      </w:r>
      <w:r w:rsidRPr="00E47A70">
        <w:t>%</w:t>
      </w:r>
      <w:r>
        <w:t xml:space="preserve"> para os serviços de característica rodoviária e de característica suburbana.</w:t>
      </w:r>
    </w:p>
    <w:p w:rsidR="00ED391C" w:rsidRDefault="00ED391C" w:rsidP="00ED391C">
      <w:pPr>
        <w:jc w:val="both"/>
      </w:pPr>
    </w:p>
    <w:p w:rsidR="00ED391C" w:rsidRDefault="00ED391C" w:rsidP="00ED391C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rPr>
          <w:b/>
        </w:rPr>
        <w:t>Artigo 2º -</w:t>
      </w:r>
      <w:r>
        <w:t xml:space="preserve"> Ficam autorizadas às empresas permissionárias do serviço intermunicipal de transporte coletivo de passageiros, cujos itinerários se desenvolvam total ou parcialmente por rodovias </w:t>
      </w:r>
      <w:proofErr w:type="spellStart"/>
      <w:r>
        <w:t>pedagiadas</w:t>
      </w:r>
      <w:proofErr w:type="spellEnd"/>
      <w:r>
        <w:t xml:space="preserve"> ou façam uso de balsa, a cobrança, na emissão das respectivas passagens, do valor correspondente às despesas realizadas com o pagamento do pedágio ou balsa, a título de reembolso conforme cálculo indicado a seguir. 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§ 1º </w:t>
      </w:r>
      <w:r>
        <w:t>- O cálculo do valor adicional de que trata o caput deste artigo, será pago, individualmente, pelo número médio de passageiros por viagem apurados no ano de 2015 através dos Quadros Informativos Operacionais Mensais (</w:t>
      </w:r>
      <w:proofErr w:type="spellStart"/>
      <w:r>
        <w:t>QIOM´s</w:t>
      </w:r>
      <w:proofErr w:type="spellEnd"/>
      <w:r>
        <w:t xml:space="preserve">), mediante a divisão do total do pedágio ou balsa cobrado em cada </w:t>
      </w:r>
      <w:r w:rsidRPr="00924C52">
        <w:t xml:space="preserve">sentido </w:t>
      </w:r>
      <w:r w:rsidRPr="00E47A70">
        <w:t xml:space="preserve">por </w:t>
      </w:r>
      <w:r>
        <w:t xml:space="preserve">23,74 </w:t>
      </w:r>
      <w:r w:rsidRPr="00924C52">
        <w:t xml:space="preserve">no caso do ônibus rodoviário e </w:t>
      </w:r>
      <w:r>
        <w:t xml:space="preserve">29,60 </w:t>
      </w:r>
      <w:r w:rsidRPr="00924C52">
        <w:t>no caso de ônibus suburbano. Caso</w:t>
      </w:r>
      <w:r>
        <w:t xml:space="preserve"> haja cobrança em um único sentido, o valor encontrado deverá ser dividido por dois.</w:t>
      </w:r>
    </w:p>
    <w:p w:rsidR="00ED391C" w:rsidRDefault="00ED391C" w:rsidP="00ED391C">
      <w:pPr>
        <w:jc w:val="both"/>
      </w:pPr>
      <w:r w:rsidRPr="00715406">
        <w:tab/>
      </w:r>
      <w:r w:rsidRPr="00715406">
        <w:tab/>
      </w:r>
      <w:r w:rsidRPr="00715406">
        <w:tab/>
      </w:r>
      <w:r w:rsidRPr="00715406">
        <w:tab/>
      </w:r>
      <w:r w:rsidRPr="00715406">
        <w:rPr>
          <w:b/>
        </w:rPr>
        <w:t>§ 2º</w:t>
      </w:r>
      <w:r w:rsidRPr="00715406">
        <w:t xml:space="preserve"> - O valor </w:t>
      </w:r>
      <w:r>
        <w:t>encontrado após a apuração mencionada no parágrafo anterior deverá ainda,</w:t>
      </w:r>
      <w:r w:rsidRPr="00715406">
        <w:t xml:space="preserve"> ser dividido por 0,88 (oitenta e oito centésimos), para </w:t>
      </w:r>
      <w:r>
        <w:t>inclusão d</w:t>
      </w:r>
      <w:r w:rsidRPr="00715406">
        <w:t>o ICMS.</w:t>
      </w:r>
      <w:r>
        <w:t xml:space="preserve"> As linhas que sejam de característica suburbana excluem-se da incidência do ICMS.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§ 3º</w:t>
      </w:r>
      <w:r>
        <w:t xml:space="preserve"> - Os valores de pedágio ou de balsa, já incluso o valor do ICMS calculado de acordo com o parágrafo segundo, deverão ser somados aos preços constantes dos Anexos I e II sempre que seja o caso. </w:t>
      </w:r>
    </w:p>
    <w:p w:rsidR="00ED391C" w:rsidRDefault="00ED391C" w:rsidP="00ED391C">
      <w:pPr>
        <w:jc w:val="both"/>
      </w:pPr>
      <w:r w:rsidRPr="00201EBA">
        <w:rPr>
          <w:color w:val="FF0000"/>
        </w:rPr>
        <w:tab/>
      </w:r>
      <w:r w:rsidRPr="00201EBA">
        <w:rPr>
          <w:color w:val="FF0000"/>
        </w:rPr>
        <w:tab/>
      </w:r>
      <w:r w:rsidRPr="00201EBA">
        <w:rPr>
          <w:color w:val="FF0000"/>
        </w:rPr>
        <w:tab/>
      </w:r>
      <w:r w:rsidRPr="00201EBA">
        <w:rPr>
          <w:color w:val="FF0000"/>
        </w:rPr>
        <w:tab/>
      </w:r>
      <w:r w:rsidRPr="00E47A70">
        <w:rPr>
          <w:b/>
        </w:rPr>
        <w:t>§ 4º</w:t>
      </w:r>
      <w:r w:rsidRPr="00E47A70">
        <w:t xml:space="preserve"> - Em linhas operadas simultaneamente por ônibus com 2 (dois), 3 (três) ou mais eixos, para efeito do cálculo do valor adicional de pedágio ou balsa a ser cobrado </w:t>
      </w:r>
      <w:r>
        <w:t xml:space="preserve">nos termos do parágrafo 1º </w:t>
      </w:r>
      <w:r w:rsidRPr="00E47A70">
        <w:t>considerar-se-á sempre apenas 2 (dois) eixos.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3º -</w:t>
      </w:r>
      <w:r>
        <w:t xml:space="preserve"> As tabelas de preços ora aprovadas deverão ser </w:t>
      </w:r>
      <w:r w:rsidRPr="002A5316">
        <w:t>impressas</w:t>
      </w:r>
      <w:r>
        <w:t xml:space="preserve"> pelas empresas permissionárias, até o dia anterior à data em que passa a vigorar o reajuste, no formato dos Anexos I e II integrantes desta Portaria.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§ 1º- </w:t>
      </w:r>
      <w:r>
        <w:t>Os Anexos deverão ser impressos no mínimo até a maior faixa quilométrica utilizada pela empresa permissionária para enquadramento tarifário.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§ 2º -</w:t>
      </w:r>
      <w:r>
        <w:t xml:space="preserve"> A presente Portaria poderá ser impressa no verso dos Anexos.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§ 3º -</w:t>
      </w:r>
      <w:r>
        <w:t xml:space="preserve"> As Tabelas e a Portaria deverão permanecer à disposição dos usuários e da fiscalização nos guichês, agências e veículos.</w:t>
      </w:r>
    </w:p>
    <w:p w:rsidR="00ED391C" w:rsidRDefault="00ED391C" w:rsidP="00ED391C">
      <w:pPr>
        <w:jc w:val="both"/>
      </w:pP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</w:p>
    <w:p w:rsidR="00ED391C" w:rsidRDefault="00ED391C" w:rsidP="00ED391C">
      <w:pPr>
        <w:jc w:val="both"/>
      </w:pPr>
      <w:r>
        <w:lastRenderedPageBreak/>
        <w:tab/>
      </w:r>
      <w:r>
        <w:tab/>
      </w:r>
      <w:r>
        <w:tab/>
      </w:r>
      <w:r>
        <w:tab/>
      </w:r>
      <w:r w:rsidRPr="00F60326">
        <w:rPr>
          <w:b/>
        </w:rPr>
        <w:t xml:space="preserve">Artigo </w:t>
      </w:r>
      <w:r>
        <w:rPr>
          <w:b/>
        </w:rPr>
        <w:t>4</w:t>
      </w:r>
      <w:r w:rsidRPr="00F60326">
        <w:rPr>
          <w:b/>
        </w:rPr>
        <w:t>º -</w:t>
      </w:r>
      <w:r>
        <w:t>A</w:t>
      </w:r>
      <w:r w:rsidRPr="00F60326">
        <w:t xml:space="preserve"> frota do sistema do serviço regular de transporte coletivo deverá se manter com a idade média de no máximo 5 (cinco) anos para os veículos tipo</w:t>
      </w:r>
      <w:r>
        <w:t xml:space="preserve"> </w:t>
      </w:r>
      <w:r w:rsidRPr="00F60326">
        <w:t>rodoviário</w:t>
      </w:r>
      <w:r>
        <w:t xml:space="preserve"> e</w:t>
      </w:r>
      <w:r w:rsidRPr="00F60326">
        <w:t xml:space="preserve"> 7 (sete) anos para os veículos tipo urbano.</w:t>
      </w:r>
    </w:p>
    <w:p w:rsidR="00ED391C" w:rsidRDefault="00ED391C" w:rsidP="00ED391C">
      <w:pPr>
        <w:ind w:firstLine="2832"/>
        <w:jc w:val="both"/>
        <w:rPr>
          <w:b/>
        </w:rPr>
      </w:pPr>
      <w:r>
        <w:rPr>
          <w:b/>
        </w:rPr>
        <w:t>Artigo 5º -</w:t>
      </w:r>
      <w:r>
        <w:t xml:space="preserve"> Esta Portaria e os preços das passagens ora aprovados e veiculados nos Anexos entram em vigor a partir da zero hora do dia </w:t>
      </w:r>
      <w:r w:rsidRPr="00B146E5">
        <w:rPr>
          <w:b/>
        </w:rPr>
        <w:t>5 (cinco) de julho de 2016</w:t>
      </w:r>
      <w:r>
        <w:t>, revogadas as disposições em contrário.</w:t>
      </w:r>
    </w:p>
    <w:p w:rsidR="00ED391C" w:rsidRDefault="00ED391C" w:rsidP="00ED391C">
      <w:pPr>
        <w:ind w:firstLine="2832"/>
        <w:jc w:val="both"/>
      </w:pPr>
      <w:r>
        <w:rPr>
          <w:b/>
        </w:rPr>
        <w:t xml:space="preserve">§ 1º – </w:t>
      </w:r>
      <w:r>
        <w:t xml:space="preserve">As empresas, após a publicação </w:t>
      </w:r>
      <w:r w:rsidRPr="004801A8">
        <w:t>desta Portaria</w:t>
      </w:r>
      <w:r>
        <w:t>, deverão imediatamente, antes do início efetivo da cobrança dos novos preços das passagens, divulgar em seus guichês de vendas e ônibus, o valor do reajuste ora autorizado.</w:t>
      </w:r>
    </w:p>
    <w:p w:rsidR="00ED391C" w:rsidRDefault="00ED391C" w:rsidP="00ED391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§ 2º -</w:t>
      </w:r>
      <w:r>
        <w:t xml:space="preserve"> A prática dos novos preços das passagens só poderá ocorrer após a atualização dos Quadros das Tabelas de Preços de que trata a Portaria SUP/DER-099, de 30/10/90, alterada pelas Portarias SUP/DER-103, de 11/12/90, ARTESP-023, de 22/11/2007 e ARTESP-025, de 27/12/2007.</w:t>
      </w:r>
    </w:p>
    <w:p w:rsidR="00ED391C" w:rsidRDefault="00ED391C" w:rsidP="00ED391C">
      <w:pPr>
        <w:jc w:val="both"/>
      </w:pPr>
    </w:p>
    <w:p w:rsidR="00ED391C" w:rsidRDefault="00ED391C" w:rsidP="00ED391C">
      <w:pPr>
        <w:jc w:val="both"/>
      </w:pPr>
    </w:p>
    <w:p w:rsidR="00ED391C" w:rsidRDefault="00ED391C" w:rsidP="00ED391C">
      <w:pPr>
        <w:jc w:val="both"/>
      </w:pPr>
    </w:p>
    <w:p w:rsidR="00ED391C" w:rsidRDefault="00ED391C" w:rsidP="00ED391C">
      <w:pPr>
        <w:pStyle w:val="Recuodecorpodetexto"/>
        <w:jc w:val="center"/>
      </w:pPr>
      <w:r>
        <w:t xml:space="preserve">São Paulo, 29 de Junho de </w:t>
      </w:r>
      <w:r w:rsidRPr="0010797C">
        <w:t>20</w:t>
      </w:r>
      <w:r>
        <w:t>16</w:t>
      </w:r>
    </w:p>
    <w:p w:rsidR="00ED391C" w:rsidRDefault="00ED391C" w:rsidP="00ED391C">
      <w:pPr>
        <w:pStyle w:val="Recuodecorpodetexto"/>
        <w:ind w:left="0" w:firstLine="993"/>
      </w:pPr>
    </w:p>
    <w:p w:rsidR="00ED391C" w:rsidRDefault="00ED391C" w:rsidP="00ED391C">
      <w:pPr>
        <w:pStyle w:val="Recuodecorpodetexto"/>
        <w:ind w:left="0" w:firstLine="993"/>
      </w:pPr>
    </w:p>
    <w:p w:rsidR="00ED391C" w:rsidRDefault="00ED391C" w:rsidP="00ED391C">
      <w:pPr>
        <w:pStyle w:val="Recuodecorpodetexto"/>
        <w:ind w:left="0" w:firstLine="993"/>
      </w:pPr>
    </w:p>
    <w:p w:rsidR="00ED391C" w:rsidRPr="008E379C" w:rsidRDefault="00ED391C" w:rsidP="00ED391C">
      <w:pPr>
        <w:pStyle w:val="Recuodecorpodetexto"/>
        <w:ind w:left="0"/>
        <w:jc w:val="center"/>
        <w:rPr>
          <w:b/>
        </w:rPr>
      </w:pPr>
      <w:r w:rsidRPr="008E379C">
        <w:rPr>
          <w:b/>
        </w:rPr>
        <w:t>GIOVANNI PENGUE FILHO</w:t>
      </w:r>
    </w:p>
    <w:p w:rsidR="00ED391C" w:rsidRPr="008E379C" w:rsidRDefault="00ED391C" w:rsidP="00ED391C">
      <w:pPr>
        <w:pStyle w:val="Recuodecorpodetexto"/>
        <w:ind w:left="0"/>
        <w:jc w:val="center"/>
        <w:rPr>
          <w:b/>
        </w:rPr>
      </w:pPr>
      <w:r w:rsidRPr="008E379C">
        <w:rPr>
          <w:b/>
        </w:rPr>
        <w:t>Diretor Geral</w:t>
      </w:r>
    </w:p>
    <w:p w:rsidR="00ED391C" w:rsidRDefault="00ED391C" w:rsidP="00ED391C">
      <w:pPr>
        <w:pStyle w:val="Recuodecorpodetexto"/>
        <w:ind w:left="4248"/>
        <w:jc w:val="center"/>
        <w:rPr>
          <w:b/>
        </w:rPr>
      </w:pPr>
    </w:p>
    <w:p w:rsidR="00ED391C" w:rsidRDefault="00ED391C" w:rsidP="00ED391C">
      <w:pPr>
        <w:jc w:val="center"/>
        <w:rPr>
          <w:b/>
        </w:rPr>
      </w:pPr>
    </w:p>
    <w:p w:rsidR="00ED391C" w:rsidRDefault="00ED391C" w:rsidP="00ED391C">
      <w:pPr>
        <w:jc w:val="center"/>
        <w:rPr>
          <w:b/>
        </w:rPr>
      </w:pPr>
    </w:p>
    <w:p w:rsidR="00ED391C" w:rsidRDefault="00ED391C" w:rsidP="00ED391C">
      <w:pPr>
        <w:jc w:val="center"/>
        <w:rPr>
          <w:b/>
        </w:rPr>
      </w:pPr>
    </w:p>
    <w:p w:rsidR="00ED391C" w:rsidRDefault="00ED391C" w:rsidP="00ED391C">
      <w:pPr>
        <w:pStyle w:val="Recuodecorpodetexto"/>
        <w:ind w:left="4248"/>
        <w:jc w:val="center"/>
        <w:rPr>
          <w:b/>
        </w:rPr>
      </w:pPr>
    </w:p>
    <w:p w:rsidR="00ED391C" w:rsidRDefault="00ED391C" w:rsidP="00ED391C">
      <w:pPr>
        <w:pStyle w:val="Recuodecorpodetexto"/>
        <w:ind w:left="4248"/>
        <w:jc w:val="center"/>
        <w:rPr>
          <w:b/>
        </w:rPr>
      </w:pPr>
    </w:p>
    <w:p w:rsidR="00ED391C" w:rsidRDefault="00ED391C" w:rsidP="00ED391C">
      <w:pPr>
        <w:pStyle w:val="Recuodecorpodetexto"/>
        <w:ind w:left="4248"/>
        <w:jc w:val="center"/>
        <w:rPr>
          <w:b/>
        </w:rPr>
      </w:pPr>
    </w:p>
    <w:p w:rsidR="00ED391C" w:rsidRDefault="00ED391C" w:rsidP="00ED391C">
      <w:pPr>
        <w:pStyle w:val="Recuodecorpodetexto"/>
        <w:spacing w:after="0"/>
        <w:ind w:left="0" w:firstLine="993"/>
        <w:jc w:val="center"/>
        <w:rPr>
          <w:rFonts w:cs="Arial"/>
          <w:b/>
        </w:rPr>
      </w:pPr>
      <w:r>
        <w:rPr>
          <w:rFonts w:cs="Arial"/>
          <w:b/>
        </w:rPr>
        <w:t>ANEXO I</w:t>
      </w:r>
      <w:r w:rsidRPr="00BC5F49">
        <w:rPr>
          <w:rFonts w:cs="Arial"/>
          <w:b/>
        </w:rPr>
        <w:t xml:space="preserve"> - Tabela de Preços</w:t>
      </w:r>
    </w:p>
    <w:tbl>
      <w:tblPr>
        <w:tblW w:w="7467" w:type="dxa"/>
        <w:jc w:val="center"/>
        <w:tblCellMar>
          <w:left w:w="70" w:type="dxa"/>
          <w:right w:w="70" w:type="dxa"/>
        </w:tblCellMar>
        <w:tblLook w:val="04A0"/>
      </w:tblPr>
      <w:tblGrid>
        <w:gridCol w:w="655"/>
        <w:gridCol w:w="207"/>
        <w:gridCol w:w="654"/>
        <w:gridCol w:w="2008"/>
        <w:gridCol w:w="1460"/>
        <w:gridCol w:w="1023"/>
        <w:gridCol w:w="1460"/>
      </w:tblGrid>
      <w:tr w:rsidR="00ED391C" w:rsidRPr="001E78B7" w:rsidTr="00ED391C">
        <w:trPr>
          <w:trHeight w:val="255"/>
          <w:jc w:val="center"/>
        </w:trPr>
        <w:tc>
          <w:tcPr>
            <w:tcW w:w="7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ED391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CARACTERÍSTICA RODOVIÁRIO</w:t>
            </w:r>
          </w:p>
        </w:tc>
      </w:tr>
      <w:tr w:rsidR="00ED391C" w:rsidRPr="001E78B7" w:rsidTr="00ED391C">
        <w:trPr>
          <w:trHeight w:val="170"/>
          <w:jc w:val="center"/>
        </w:trPr>
        <w:tc>
          <w:tcPr>
            <w:tcW w:w="1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Extensão(km) da Linha ou Seção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SERVIÇO</w:t>
            </w:r>
          </w:p>
        </w:tc>
      </w:tr>
      <w:tr w:rsidR="00ED391C" w:rsidRPr="001E78B7" w:rsidTr="00ED391C">
        <w:trPr>
          <w:trHeight w:val="481"/>
          <w:jc w:val="center"/>
        </w:trPr>
        <w:tc>
          <w:tcPr>
            <w:tcW w:w="15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CONVENCIONAL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LITORÂNEO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L E I T 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1C" w:rsidRPr="001E78B7" w:rsidRDefault="00ED391C" w:rsidP="00ED391C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ED391C" w:rsidRPr="001E78B7" w:rsidTr="00ED391C">
        <w:trPr>
          <w:trHeight w:val="481"/>
          <w:jc w:val="center"/>
        </w:trPr>
        <w:tc>
          <w:tcPr>
            <w:tcW w:w="15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De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 xml:space="preserve">  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R$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R$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R$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R$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5,92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6,91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8,92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8,02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10,89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9,47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12,88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10,93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14,87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16,88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13,87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18,87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15,27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20,85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22,82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18,10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24,83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26,81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20,90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33,88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28,79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22,28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30,79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23,64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32,78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34,76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95,0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26,37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43,24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36,76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lastRenderedPageBreak/>
              <w:t>95,1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27,73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38,73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29,78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49,09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41,73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32,53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53,77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45,70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35,27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58,44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49,69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37,98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63,13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53,66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33,92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67,82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57,63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43,39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72,48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61,62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38,60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46,04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77,16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65,58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48,71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81,85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69,58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51,34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86,53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73,54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53,97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77,52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47,94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56,59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95,89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81,50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50,28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59,20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100,58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85,48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52,62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105,25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89,44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54,97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64,36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109,92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93,43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57,31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66,91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97,41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59,64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69,45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119,30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101,40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61,99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71,98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123,96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105,36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74,50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128,65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109,34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66,66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76,98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113,35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79,47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138,02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117,32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71,33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81,93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121,30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73,68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84,39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125,26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lastRenderedPageBreak/>
              <w:t>320,1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86,85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152,06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129,25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89,28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133,21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91,69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161,41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137,21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83,05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94,10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166,08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141,19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85,38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96,48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170,77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145,16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87,74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98,86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175,45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149,13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90,07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101,21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180,13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153,11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92,39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103,57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184,81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157,09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105,89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189,49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161,05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108,21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194,16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165,04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99,43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110,51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198,84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169,03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112,81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203,53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173,01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115,09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208,22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176,97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106,46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117,35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212,88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180,95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108,80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119,61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217,56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184,93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222,25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188,93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124,08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226,93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192,88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490,1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115,79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126,29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196,87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118,14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128,47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200,83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120,49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130,66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240,96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204,82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122,83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132,84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208,80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125,17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135,01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250,33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212,78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137,16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255,02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216,75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lastRenderedPageBreak/>
              <w:t>550,1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129,84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139,29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259,67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220,73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132,18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141,43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264,37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224,71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134,52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143,53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269,06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228,67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136,86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145,63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232,65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590,1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139,22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147,71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236,65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149,78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283,09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240,63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143,87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244,59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146,22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153,89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292,44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248,57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148,56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155,94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252,55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150,91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157,97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301,80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256,53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153,26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159,97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306,48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260,49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161,96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264,49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157,91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163,97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315,84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268,45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160,24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165,94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320,53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272,44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690,1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167,89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325,20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276,40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700,1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710,0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164,94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169,85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329,87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280,39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710,1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720,0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167,29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171,79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334,55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284,38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720,1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730,0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169,63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173,73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339,25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288,37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730,1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740,0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171,95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175,64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343,93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292,35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740,1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750,0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174,31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177,54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348,59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296,32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750,1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760,0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176,64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179,45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353,28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300,29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760,1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770,0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178,97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181,32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357,98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304,27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770,1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780,0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181,32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183,20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362,63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308,27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lastRenderedPageBreak/>
              <w:t>780,1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790,0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183,67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185,04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367,32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312,22</w:t>
            </w:r>
          </w:p>
        </w:tc>
      </w:tr>
      <w:tr w:rsidR="00ED391C" w:rsidRPr="001E78B7" w:rsidTr="00ED391C">
        <w:trPr>
          <w:trHeight w:val="25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790,1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right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800,0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185,99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186,89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91C" w:rsidRPr="001E78B7" w:rsidRDefault="00ED391C" w:rsidP="00CB5BE7">
            <w:pPr>
              <w:jc w:val="center"/>
              <w:rPr>
                <w:rFonts w:cs="Arial"/>
                <w:sz w:val="20"/>
                <w:szCs w:val="20"/>
              </w:rPr>
            </w:pPr>
            <w:r w:rsidRPr="001E78B7">
              <w:rPr>
                <w:rFonts w:cs="Arial"/>
                <w:sz w:val="20"/>
                <w:szCs w:val="20"/>
              </w:rPr>
              <w:t>316,21</w:t>
            </w:r>
          </w:p>
        </w:tc>
      </w:tr>
    </w:tbl>
    <w:p w:rsidR="00ED391C" w:rsidRDefault="00ED391C" w:rsidP="00ED391C">
      <w:pPr>
        <w:pStyle w:val="Recuodecorpodetexto"/>
        <w:ind w:left="0" w:firstLine="993"/>
        <w:jc w:val="center"/>
        <w:rPr>
          <w:rFonts w:cs="Arial"/>
          <w:b/>
        </w:rPr>
      </w:pPr>
    </w:p>
    <w:p w:rsidR="00ED391C" w:rsidRPr="009278EC" w:rsidRDefault="00ED391C" w:rsidP="00ED391C">
      <w:pPr>
        <w:pStyle w:val="Recuodecorpodetexto"/>
        <w:ind w:left="426"/>
        <w:rPr>
          <w:sz w:val="18"/>
          <w:szCs w:val="18"/>
        </w:rPr>
      </w:pPr>
      <w:r>
        <w:rPr>
          <w:sz w:val="18"/>
          <w:szCs w:val="18"/>
        </w:rPr>
        <w:t>No</w:t>
      </w:r>
      <w:r w:rsidRPr="009278EC">
        <w:rPr>
          <w:sz w:val="18"/>
          <w:szCs w:val="18"/>
        </w:rPr>
        <w:t>s preços acima deverão ser adicionados, quando for o caso, taxa de embarque, seguro facultativo e pedágio.</w:t>
      </w:r>
    </w:p>
    <w:p w:rsidR="00ED391C" w:rsidRDefault="00ED391C" w:rsidP="00ED391C">
      <w:pPr>
        <w:pStyle w:val="Recuodecorpodetexto"/>
        <w:ind w:left="0" w:firstLine="993"/>
        <w:jc w:val="center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>ANEXO II</w:t>
      </w:r>
      <w:r w:rsidRPr="00BC5F49">
        <w:rPr>
          <w:rFonts w:cs="Arial"/>
          <w:b/>
        </w:rPr>
        <w:t xml:space="preserve"> - Tabela de Preços</w:t>
      </w:r>
    </w:p>
    <w:p w:rsidR="00ED391C" w:rsidRDefault="00ED391C" w:rsidP="00ED391C">
      <w:pPr>
        <w:pStyle w:val="Recuodecorpodetexto"/>
        <w:ind w:left="0" w:firstLine="993"/>
        <w:jc w:val="center"/>
        <w:rPr>
          <w:rFonts w:cs="Arial"/>
          <w:b/>
        </w:rPr>
      </w:pPr>
      <w:r>
        <w:rPr>
          <w:noProof/>
        </w:rPr>
        <w:drawing>
          <wp:inline distT="0" distB="0" distL="0" distR="0">
            <wp:extent cx="2886075" cy="6229350"/>
            <wp:effectExtent l="19050" t="19050" r="28575" b="19050"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229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D391C" w:rsidRDefault="00ED391C" w:rsidP="00ED391C">
      <w:pPr>
        <w:pStyle w:val="Recuodecorpodetexto"/>
        <w:ind w:left="426"/>
        <w:jc w:val="center"/>
        <w:rPr>
          <w:rFonts w:cs="Arial"/>
        </w:rPr>
      </w:pPr>
      <w:r>
        <w:rPr>
          <w:sz w:val="18"/>
          <w:szCs w:val="18"/>
        </w:rPr>
        <w:t>No</w:t>
      </w:r>
      <w:bookmarkStart w:id="0" w:name="_GoBack"/>
      <w:bookmarkEnd w:id="0"/>
      <w:r w:rsidRPr="009278EC">
        <w:rPr>
          <w:sz w:val="18"/>
          <w:szCs w:val="18"/>
        </w:rPr>
        <w:t>s preços acima deverão ser adicionados, quando for o caso, pedágio.</w:t>
      </w:r>
    </w:p>
    <w:sectPr w:rsidR="00ED391C" w:rsidSect="00170F1D">
      <w:headerReference w:type="default" r:id="rId9"/>
      <w:headerReference w:type="first" r:id="rId10"/>
      <w:pgSz w:w="11906" w:h="16838"/>
      <w:pgMar w:top="1418" w:right="1588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BE7" w:rsidRDefault="00CB5BE7" w:rsidP="00435FD3">
      <w:pPr>
        <w:spacing w:after="0" w:line="240" w:lineRule="auto"/>
      </w:pPr>
      <w:r>
        <w:separator/>
      </w:r>
    </w:p>
  </w:endnote>
  <w:endnote w:type="continuationSeparator" w:id="0">
    <w:p w:rsidR="00CB5BE7" w:rsidRDefault="00CB5BE7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BE7" w:rsidRDefault="00CB5BE7" w:rsidP="00435FD3">
      <w:pPr>
        <w:spacing w:after="0" w:line="240" w:lineRule="auto"/>
      </w:pPr>
      <w:r>
        <w:separator/>
      </w:r>
    </w:p>
  </w:footnote>
  <w:footnote w:type="continuationSeparator" w:id="0">
    <w:p w:rsidR="00CB5BE7" w:rsidRDefault="00CB5BE7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7" w:rsidRDefault="00CB5BE7" w:rsidP="00877C0B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552575" cy="17811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7" w:rsidRDefault="00CB5BE7" w:rsidP="00877C0B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552575" cy="17811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FB8E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7C086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CC46D3"/>
    <w:multiLevelType w:val="singleLevel"/>
    <w:tmpl w:val="050AA1D2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5E0B23"/>
    <w:multiLevelType w:val="singleLevel"/>
    <w:tmpl w:val="9F366AA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4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F3E7B"/>
    <w:multiLevelType w:val="hybridMultilevel"/>
    <w:tmpl w:val="EE68914E"/>
    <w:lvl w:ilvl="0" w:tplc="B10A63C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2D5750"/>
    <w:multiLevelType w:val="hybridMultilevel"/>
    <w:tmpl w:val="1A4E915C"/>
    <w:lvl w:ilvl="0" w:tplc="52EEC5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04A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A5908"/>
    <w:rsid w:val="0002250C"/>
    <w:rsid w:val="00035B23"/>
    <w:rsid w:val="0005109C"/>
    <w:rsid w:val="000554CC"/>
    <w:rsid w:val="00064371"/>
    <w:rsid w:val="00067A6E"/>
    <w:rsid w:val="000863C7"/>
    <w:rsid w:val="000A2040"/>
    <w:rsid w:val="000A211F"/>
    <w:rsid w:val="000A5F2B"/>
    <w:rsid w:val="000B2BAD"/>
    <w:rsid w:val="000B5D2C"/>
    <w:rsid w:val="000C0671"/>
    <w:rsid w:val="000C16E1"/>
    <w:rsid w:val="000C3DCE"/>
    <w:rsid w:val="000D3F29"/>
    <w:rsid w:val="000F611D"/>
    <w:rsid w:val="000F7E85"/>
    <w:rsid w:val="00105D79"/>
    <w:rsid w:val="0011276A"/>
    <w:rsid w:val="00115211"/>
    <w:rsid w:val="00120F72"/>
    <w:rsid w:val="00126F8C"/>
    <w:rsid w:val="00142A90"/>
    <w:rsid w:val="0014347A"/>
    <w:rsid w:val="00153D16"/>
    <w:rsid w:val="00157DD0"/>
    <w:rsid w:val="00170F1D"/>
    <w:rsid w:val="00172C18"/>
    <w:rsid w:val="00174740"/>
    <w:rsid w:val="00181616"/>
    <w:rsid w:val="001826F4"/>
    <w:rsid w:val="0018555D"/>
    <w:rsid w:val="001875B7"/>
    <w:rsid w:val="001933E8"/>
    <w:rsid w:val="00193899"/>
    <w:rsid w:val="001A7879"/>
    <w:rsid w:val="001C263A"/>
    <w:rsid w:val="001D3AB9"/>
    <w:rsid w:val="001F0140"/>
    <w:rsid w:val="002002B7"/>
    <w:rsid w:val="0020210B"/>
    <w:rsid w:val="002155BC"/>
    <w:rsid w:val="00230D12"/>
    <w:rsid w:val="00242F6F"/>
    <w:rsid w:val="00260B87"/>
    <w:rsid w:val="0027502A"/>
    <w:rsid w:val="002751AA"/>
    <w:rsid w:val="002763E0"/>
    <w:rsid w:val="00281D95"/>
    <w:rsid w:val="00283A05"/>
    <w:rsid w:val="002942E0"/>
    <w:rsid w:val="0029452E"/>
    <w:rsid w:val="002A04EA"/>
    <w:rsid w:val="002A6C62"/>
    <w:rsid w:val="002B50E3"/>
    <w:rsid w:val="002B5F54"/>
    <w:rsid w:val="002D7BEC"/>
    <w:rsid w:val="002E2DA0"/>
    <w:rsid w:val="003045BB"/>
    <w:rsid w:val="00310EE0"/>
    <w:rsid w:val="003171AB"/>
    <w:rsid w:val="0034031C"/>
    <w:rsid w:val="0035532D"/>
    <w:rsid w:val="003616A2"/>
    <w:rsid w:val="00372CDC"/>
    <w:rsid w:val="003A5516"/>
    <w:rsid w:val="003B7B22"/>
    <w:rsid w:val="003C0F83"/>
    <w:rsid w:val="003D33D8"/>
    <w:rsid w:val="003E12E4"/>
    <w:rsid w:val="003E7924"/>
    <w:rsid w:val="003E7E72"/>
    <w:rsid w:val="00425552"/>
    <w:rsid w:val="00426AC0"/>
    <w:rsid w:val="00430217"/>
    <w:rsid w:val="00430E52"/>
    <w:rsid w:val="004312BB"/>
    <w:rsid w:val="00435FD3"/>
    <w:rsid w:val="004401EA"/>
    <w:rsid w:val="0044784C"/>
    <w:rsid w:val="00455A5B"/>
    <w:rsid w:val="004844AF"/>
    <w:rsid w:val="00485913"/>
    <w:rsid w:val="00492AF4"/>
    <w:rsid w:val="004A5F98"/>
    <w:rsid w:val="004B3949"/>
    <w:rsid w:val="004B537F"/>
    <w:rsid w:val="004C23F3"/>
    <w:rsid w:val="004C4A6D"/>
    <w:rsid w:val="004D1E67"/>
    <w:rsid w:val="004D2A8B"/>
    <w:rsid w:val="004F430D"/>
    <w:rsid w:val="004F5998"/>
    <w:rsid w:val="0052304A"/>
    <w:rsid w:val="00552904"/>
    <w:rsid w:val="005614E0"/>
    <w:rsid w:val="0056601F"/>
    <w:rsid w:val="00570203"/>
    <w:rsid w:val="00570578"/>
    <w:rsid w:val="00574A53"/>
    <w:rsid w:val="005771E3"/>
    <w:rsid w:val="0058246D"/>
    <w:rsid w:val="00591D11"/>
    <w:rsid w:val="005A0265"/>
    <w:rsid w:val="005A6DA1"/>
    <w:rsid w:val="005A7270"/>
    <w:rsid w:val="005B0164"/>
    <w:rsid w:val="005C19A6"/>
    <w:rsid w:val="005D4FC6"/>
    <w:rsid w:val="005E0F7A"/>
    <w:rsid w:val="005E35D8"/>
    <w:rsid w:val="005F6111"/>
    <w:rsid w:val="006016C5"/>
    <w:rsid w:val="00633082"/>
    <w:rsid w:val="00641985"/>
    <w:rsid w:val="006419AD"/>
    <w:rsid w:val="006455EB"/>
    <w:rsid w:val="006624B8"/>
    <w:rsid w:val="00663984"/>
    <w:rsid w:val="00674328"/>
    <w:rsid w:val="00677321"/>
    <w:rsid w:val="00681647"/>
    <w:rsid w:val="00693AD6"/>
    <w:rsid w:val="006977B4"/>
    <w:rsid w:val="006A2CC0"/>
    <w:rsid w:val="006A587F"/>
    <w:rsid w:val="006B0413"/>
    <w:rsid w:val="006B074D"/>
    <w:rsid w:val="006B1123"/>
    <w:rsid w:val="006B1F3F"/>
    <w:rsid w:val="006B578C"/>
    <w:rsid w:val="006C67E8"/>
    <w:rsid w:val="006F3758"/>
    <w:rsid w:val="006F3DF7"/>
    <w:rsid w:val="006F6E0C"/>
    <w:rsid w:val="0070060F"/>
    <w:rsid w:val="00706DF2"/>
    <w:rsid w:val="00724856"/>
    <w:rsid w:val="00727E9B"/>
    <w:rsid w:val="0073085B"/>
    <w:rsid w:val="007416AF"/>
    <w:rsid w:val="007429C0"/>
    <w:rsid w:val="007711CA"/>
    <w:rsid w:val="00772DEC"/>
    <w:rsid w:val="007815B3"/>
    <w:rsid w:val="0078362E"/>
    <w:rsid w:val="00787CDC"/>
    <w:rsid w:val="00795DBF"/>
    <w:rsid w:val="007C5226"/>
    <w:rsid w:val="007C5CD0"/>
    <w:rsid w:val="007D1C11"/>
    <w:rsid w:val="007D2C50"/>
    <w:rsid w:val="007E607B"/>
    <w:rsid w:val="00807674"/>
    <w:rsid w:val="008154E3"/>
    <w:rsid w:val="008321E2"/>
    <w:rsid w:val="00852E1A"/>
    <w:rsid w:val="00853D7F"/>
    <w:rsid w:val="008540B7"/>
    <w:rsid w:val="0085540C"/>
    <w:rsid w:val="00857297"/>
    <w:rsid w:val="00877C0B"/>
    <w:rsid w:val="0088415D"/>
    <w:rsid w:val="00895E6D"/>
    <w:rsid w:val="008A799C"/>
    <w:rsid w:val="008B1163"/>
    <w:rsid w:val="008B39AD"/>
    <w:rsid w:val="008C02FF"/>
    <w:rsid w:val="008C095C"/>
    <w:rsid w:val="008C537F"/>
    <w:rsid w:val="008D1274"/>
    <w:rsid w:val="008D3CA1"/>
    <w:rsid w:val="008E795B"/>
    <w:rsid w:val="009023A7"/>
    <w:rsid w:val="009152F4"/>
    <w:rsid w:val="00917B03"/>
    <w:rsid w:val="00921BBC"/>
    <w:rsid w:val="00931972"/>
    <w:rsid w:val="00931DCF"/>
    <w:rsid w:val="00932ED4"/>
    <w:rsid w:val="0093518E"/>
    <w:rsid w:val="009425DE"/>
    <w:rsid w:val="00944690"/>
    <w:rsid w:val="009531A3"/>
    <w:rsid w:val="009600F9"/>
    <w:rsid w:val="00987111"/>
    <w:rsid w:val="009973D5"/>
    <w:rsid w:val="009B0782"/>
    <w:rsid w:val="009C0140"/>
    <w:rsid w:val="009D531E"/>
    <w:rsid w:val="009D5C8F"/>
    <w:rsid w:val="009E782A"/>
    <w:rsid w:val="009F41EB"/>
    <w:rsid w:val="00A4193C"/>
    <w:rsid w:val="00A573C2"/>
    <w:rsid w:val="00A67D45"/>
    <w:rsid w:val="00A722E9"/>
    <w:rsid w:val="00A76FB4"/>
    <w:rsid w:val="00A83309"/>
    <w:rsid w:val="00A9492C"/>
    <w:rsid w:val="00AB22D3"/>
    <w:rsid w:val="00AB4D55"/>
    <w:rsid w:val="00AB6BAC"/>
    <w:rsid w:val="00AC1B08"/>
    <w:rsid w:val="00AC2231"/>
    <w:rsid w:val="00AC61DA"/>
    <w:rsid w:val="00AD1A1D"/>
    <w:rsid w:val="00AE7D48"/>
    <w:rsid w:val="00AF0E9B"/>
    <w:rsid w:val="00B40884"/>
    <w:rsid w:val="00B45337"/>
    <w:rsid w:val="00B539F5"/>
    <w:rsid w:val="00B542B4"/>
    <w:rsid w:val="00B72B9C"/>
    <w:rsid w:val="00B8606E"/>
    <w:rsid w:val="00BA2A88"/>
    <w:rsid w:val="00BD1827"/>
    <w:rsid w:val="00BF2E60"/>
    <w:rsid w:val="00C056DB"/>
    <w:rsid w:val="00C25A51"/>
    <w:rsid w:val="00C30749"/>
    <w:rsid w:val="00C33432"/>
    <w:rsid w:val="00C37A79"/>
    <w:rsid w:val="00C52DDD"/>
    <w:rsid w:val="00C57BD3"/>
    <w:rsid w:val="00C60E86"/>
    <w:rsid w:val="00C71765"/>
    <w:rsid w:val="00C73826"/>
    <w:rsid w:val="00C74D8C"/>
    <w:rsid w:val="00C82D3C"/>
    <w:rsid w:val="00C8441B"/>
    <w:rsid w:val="00C85922"/>
    <w:rsid w:val="00C91F87"/>
    <w:rsid w:val="00C95EDC"/>
    <w:rsid w:val="00CB041D"/>
    <w:rsid w:val="00CB5BE7"/>
    <w:rsid w:val="00CC0A63"/>
    <w:rsid w:val="00CC30E5"/>
    <w:rsid w:val="00CC56C6"/>
    <w:rsid w:val="00CC5BAD"/>
    <w:rsid w:val="00CE2782"/>
    <w:rsid w:val="00CE3A10"/>
    <w:rsid w:val="00D31611"/>
    <w:rsid w:val="00D44F11"/>
    <w:rsid w:val="00D50623"/>
    <w:rsid w:val="00D61F84"/>
    <w:rsid w:val="00D65F3B"/>
    <w:rsid w:val="00D764FB"/>
    <w:rsid w:val="00D8184F"/>
    <w:rsid w:val="00D843D4"/>
    <w:rsid w:val="00DC3123"/>
    <w:rsid w:val="00DE5005"/>
    <w:rsid w:val="00DF3B76"/>
    <w:rsid w:val="00DF7B6E"/>
    <w:rsid w:val="00E051D8"/>
    <w:rsid w:val="00E11745"/>
    <w:rsid w:val="00E34EA7"/>
    <w:rsid w:val="00E4742D"/>
    <w:rsid w:val="00E6281F"/>
    <w:rsid w:val="00E73112"/>
    <w:rsid w:val="00E8691A"/>
    <w:rsid w:val="00E94708"/>
    <w:rsid w:val="00EB50A1"/>
    <w:rsid w:val="00ED391C"/>
    <w:rsid w:val="00ED76C1"/>
    <w:rsid w:val="00EF5B4D"/>
    <w:rsid w:val="00F116E9"/>
    <w:rsid w:val="00F26C1D"/>
    <w:rsid w:val="00F32F7D"/>
    <w:rsid w:val="00F60BDB"/>
    <w:rsid w:val="00F621D8"/>
    <w:rsid w:val="00F625C8"/>
    <w:rsid w:val="00F64874"/>
    <w:rsid w:val="00F77282"/>
    <w:rsid w:val="00F85C0F"/>
    <w:rsid w:val="00F8607D"/>
    <w:rsid w:val="00F87856"/>
    <w:rsid w:val="00F976FD"/>
    <w:rsid w:val="00FA05A1"/>
    <w:rsid w:val="00FA5908"/>
    <w:rsid w:val="00FB18FB"/>
    <w:rsid w:val="00FB3AAC"/>
    <w:rsid w:val="00FB76BC"/>
    <w:rsid w:val="00FC5FB6"/>
    <w:rsid w:val="00FD3941"/>
    <w:rsid w:val="00FD3983"/>
    <w:rsid w:val="00FD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2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391C"/>
    <w:pPr>
      <w:keepNext/>
      <w:numPr>
        <w:numId w:val="2"/>
      </w:numPr>
      <w:tabs>
        <w:tab w:val="clear" w:pos="360"/>
        <w:tab w:val="num" w:pos="-1276"/>
      </w:tabs>
      <w:spacing w:before="240" w:after="120" w:line="240" w:lineRule="auto"/>
      <w:ind w:left="357" w:hanging="357"/>
      <w:jc w:val="both"/>
      <w:outlineLvl w:val="0"/>
    </w:pPr>
    <w:rPr>
      <w:rFonts w:ascii="Arial" w:eastAsia="Times New Roman" w:hAnsi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391C"/>
    <w:pPr>
      <w:keepNext/>
      <w:numPr>
        <w:numId w:val="5"/>
      </w:numPr>
      <w:tabs>
        <w:tab w:val="clear" w:pos="360"/>
        <w:tab w:val="num" w:pos="-2127"/>
      </w:tabs>
      <w:spacing w:after="0" w:line="240" w:lineRule="auto"/>
      <w:ind w:left="714" w:hanging="357"/>
      <w:jc w:val="both"/>
      <w:outlineLvl w:val="1"/>
    </w:pPr>
    <w:rPr>
      <w:rFonts w:ascii="Arial" w:eastAsia="Times New Roman" w:hAnsi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D391C"/>
    <w:pPr>
      <w:keepNext/>
      <w:spacing w:before="60" w:after="60" w:line="240" w:lineRule="auto"/>
      <w:ind w:left="5954"/>
      <w:outlineLvl w:val="2"/>
    </w:pPr>
    <w:rPr>
      <w:rFonts w:ascii="Arial" w:eastAsia="Times New Roman" w:hAnsi="Arial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D391C"/>
    <w:pPr>
      <w:keepNext/>
      <w:spacing w:before="60" w:after="60" w:line="240" w:lineRule="auto"/>
      <w:ind w:left="5670"/>
      <w:outlineLvl w:val="3"/>
    </w:pPr>
    <w:rPr>
      <w:rFonts w:ascii="Arial" w:eastAsia="Times New Roman" w:hAnsi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435F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067A6E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ED391C"/>
    <w:rPr>
      <w:rFonts w:ascii="Arial" w:eastAsia="Times New Roman" w:hAnsi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D391C"/>
    <w:rPr>
      <w:rFonts w:ascii="Arial" w:eastAsia="Times New Roman" w:hAnsi="Arial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ED391C"/>
    <w:rPr>
      <w:rFonts w:ascii="Arial" w:eastAsia="Times New Roman" w:hAnsi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D391C"/>
    <w:rPr>
      <w:rFonts w:ascii="Arial" w:eastAsia="Times New Roman" w:hAnsi="Arial"/>
      <w:b/>
      <w:sz w:val="24"/>
      <w:szCs w:val="24"/>
    </w:rPr>
  </w:style>
  <w:style w:type="paragraph" w:styleId="Lista2">
    <w:name w:val="List 2"/>
    <w:basedOn w:val="Normal"/>
    <w:rsid w:val="00ED391C"/>
    <w:pPr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  <w:style w:type="paragraph" w:styleId="Commarcadores2">
    <w:name w:val="List Bullet 2"/>
    <w:basedOn w:val="Normal"/>
    <w:autoRedefine/>
    <w:rsid w:val="00ED391C"/>
    <w:pPr>
      <w:spacing w:after="0" w:line="240" w:lineRule="auto"/>
    </w:pPr>
    <w:rPr>
      <w:rFonts w:ascii="Arial" w:eastAsia="Times New Roman" w:hAnsi="Arial"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semiHidden/>
    <w:rsid w:val="00ED391C"/>
    <w:pPr>
      <w:spacing w:before="60" w:after="60" w:line="24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D391C"/>
    <w:rPr>
      <w:rFonts w:ascii="Arial" w:eastAsia="Times New Roman" w:hAnsi="Arial"/>
      <w:sz w:val="24"/>
      <w:szCs w:val="24"/>
    </w:rPr>
  </w:style>
  <w:style w:type="character" w:styleId="Nmerodepgina">
    <w:name w:val="page number"/>
    <w:basedOn w:val="Fontepargpadro"/>
    <w:rsid w:val="00ED391C"/>
  </w:style>
  <w:style w:type="paragraph" w:styleId="Recuodecorpodetexto2">
    <w:name w:val="Body Text Indent 2"/>
    <w:basedOn w:val="Normal"/>
    <w:link w:val="Recuodecorpodetexto2Char"/>
    <w:rsid w:val="00ED391C"/>
    <w:pPr>
      <w:spacing w:after="0" w:line="240" w:lineRule="auto"/>
      <w:ind w:left="4956" w:firstLine="708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391C"/>
    <w:rPr>
      <w:rFonts w:ascii="Arial" w:eastAsia="Times New Roman" w:hAnsi="Arial" w:cs="Arial"/>
      <w:sz w:val="24"/>
      <w:szCs w:val="24"/>
    </w:rPr>
  </w:style>
  <w:style w:type="paragraph" w:styleId="Ttulo">
    <w:name w:val="Title"/>
    <w:basedOn w:val="Normal"/>
    <w:link w:val="TtuloChar"/>
    <w:qFormat/>
    <w:rsid w:val="00ED391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D391C"/>
    <w:rPr>
      <w:rFonts w:ascii="Arial" w:eastAsia="Times New Roman" w:hAnsi="Arial" w:cs="Arial"/>
      <w:b/>
      <w:bCs/>
      <w:sz w:val="28"/>
      <w:szCs w:val="24"/>
    </w:rPr>
  </w:style>
  <w:style w:type="table" w:styleId="Tabelacomgrade">
    <w:name w:val="Table Grid"/>
    <w:basedOn w:val="Tabelanormal"/>
    <w:rsid w:val="00ED39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ED391C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D391C"/>
    <w:rPr>
      <w:rFonts w:ascii="Arial" w:eastAsia="Times New Roman" w:hAnsi="Arial"/>
      <w:sz w:val="24"/>
      <w:szCs w:val="24"/>
    </w:rPr>
  </w:style>
  <w:style w:type="paragraph" w:customStyle="1" w:styleId="xl28">
    <w:name w:val="xl28"/>
    <w:basedOn w:val="Normal"/>
    <w:rsid w:val="00ED39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0">
    <w:name w:val="xl40"/>
    <w:basedOn w:val="Normal"/>
    <w:rsid w:val="00ED391C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1">
    <w:name w:val="xl41"/>
    <w:basedOn w:val="Normal"/>
    <w:rsid w:val="00ED391C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50">
    <w:name w:val="xl50"/>
    <w:basedOn w:val="Normal"/>
    <w:rsid w:val="00ED391C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51">
    <w:name w:val="xl51"/>
    <w:basedOn w:val="Normal"/>
    <w:rsid w:val="00ED391C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4">
    <w:name w:val="xl24"/>
    <w:basedOn w:val="Normal"/>
    <w:rsid w:val="00ED391C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5">
    <w:name w:val="xl25"/>
    <w:basedOn w:val="Normal"/>
    <w:rsid w:val="00ED3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ED391C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7">
    <w:name w:val="xl27"/>
    <w:basedOn w:val="Normal"/>
    <w:rsid w:val="00ED391C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9">
    <w:name w:val="xl29"/>
    <w:basedOn w:val="Normal"/>
    <w:rsid w:val="00ED391C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0">
    <w:name w:val="xl30"/>
    <w:basedOn w:val="Normal"/>
    <w:rsid w:val="00ED391C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ED391C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2">
    <w:name w:val="xl32"/>
    <w:basedOn w:val="Normal"/>
    <w:rsid w:val="00ED391C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3">
    <w:name w:val="xl33"/>
    <w:basedOn w:val="Normal"/>
    <w:rsid w:val="00ED391C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4">
    <w:name w:val="xl34"/>
    <w:basedOn w:val="Normal"/>
    <w:rsid w:val="00ED3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5">
    <w:name w:val="xl35"/>
    <w:basedOn w:val="Normal"/>
    <w:rsid w:val="00ED391C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6">
    <w:name w:val="xl36"/>
    <w:basedOn w:val="Normal"/>
    <w:rsid w:val="00ED391C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7">
    <w:name w:val="xl37"/>
    <w:basedOn w:val="Normal"/>
    <w:rsid w:val="00ED391C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8">
    <w:name w:val="xl38"/>
    <w:basedOn w:val="Normal"/>
    <w:rsid w:val="00ED391C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rsid w:val="00ED39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ED391C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3">
    <w:name w:val="xl43"/>
    <w:basedOn w:val="Normal"/>
    <w:rsid w:val="00ED391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4">
    <w:name w:val="xl44"/>
    <w:basedOn w:val="Normal"/>
    <w:rsid w:val="00ED391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ED39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6">
    <w:name w:val="xl46"/>
    <w:basedOn w:val="Normal"/>
    <w:rsid w:val="00ED391C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7">
    <w:name w:val="xl47"/>
    <w:basedOn w:val="Normal"/>
    <w:rsid w:val="00ED39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8">
    <w:name w:val="xl48"/>
    <w:basedOn w:val="Normal"/>
    <w:rsid w:val="00ED391C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9">
    <w:name w:val="xl49"/>
    <w:basedOn w:val="Normal"/>
    <w:rsid w:val="00ED391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D39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D39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D39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D39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ED391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ED391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D39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D39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D391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ED39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D39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D391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D39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ED391C"/>
    <w:rPr>
      <w:color w:val="0000FF"/>
      <w:u w:val="single"/>
    </w:rPr>
  </w:style>
  <w:style w:type="character" w:styleId="HiperlinkVisitado">
    <w:name w:val="FollowedHyperlink"/>
    <w:uiPriority w:val="99"/>
    <w:unhideWhenUsed/>
    <w:rsid w:val="00ED391C"/>
    <w:rPr>
      <w:color w:val="800080"/>
      <w:u w:val="single"/>
    </w:rPr>
  </w:style>
  <w:style w:type="paragraph" w:customStyle="1" w:styleId="xl84">
    <w:name w:val="xl84"/>
    <w:basedOn w:val="Normal"/>
    <w:rsid w:val="00ED391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ED39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6">
    <w:name w:val="xl86"/>
    <w:basedOn w:val="Normal"/>
    <w:rsid w:val="00ED3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ED39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ED39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ED39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ED391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ED39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D391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C982-8517-4A69-AF4A-32BF1D21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1309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josivania</cp:lastModifiedBy>
  <cp:revision>2</cp:revision>
  <cp:lastPrinted>2016-06-29T18:25:00Z</cp:lastPrinted>
  <dcterms:created xsi:type="dcterms:W3CDTF">2016-06-29T21:12:00Z</dcterms:created>
  <dcterms:modified xsi:type="dcterms:W3CDTF">2016-06-29T21:12:00Z</dcterms:modified>
</cp:coreProperties>
</file>