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75" w:rsidRPr="00B92A10" w:rsidRDefault="003F5875" w:rsidP="00FC31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856" w:rsidRPr="00B92A10" w:rsidRDefault="00724856" w:rsidP="00FC31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 xml:space="preserve">PORTARIA </w:t>
      </w:r>
      <w:r w:rsidR="0058246D" w:rsidRPr="00B92A10">
        <w:rPr>
          <w:rFonts w:ascii="Arial" w:hAnsi="Arial" w:cs="Arial"/>
          <w:b/>
          <w:sz w:val="24"/>
          <w:szCs w:val="24"/>
        </w:rPr>
        <w:t>ARTESP Nº</w:t>
      </w:r>
      <w:r w:rsidR="00877E4C" w:rsidRPr="00B92A10">
        <w:rPr>
          <w:rFonts w:ascii="Arial" w:hAnsi="Arial" w:cs="Arial"/>
          <w:b/>
          <w:sz w:val="24"/>
          <w:szCs w:val="24"/>
        </w:rPr>
        <w:t xml:space="preserve"> </w:t>
      </w:r>
      <w:r w:rsidR="00274A73" w:rsidRPr="00B92A10">
        <w:rPr>
          <w:rFonts w:ascii="Arial" w:hAnsi="Arial" w:cs="Arial"/>
          <w:b/>
          <w:sz w:val="24"/>
          <w:szCs w:val="24"/>
        </w:rPr>
        <w:t>36</w:t>
      </w:r>
      <w:r w:rsidR="005614E0" w:rsidRPr="00B92A10">
        <w:rPr>
          <w:rFonts w:ascii="Arial" w:hAnsi="Arial" w:cs="Arial"/>
          <w:b/>
          <w:sz w:val="24"/>
          <w:szCs w:val="24"/>
        </w:rPr>
        <w:t xml:space="preserve">, </w:t>
      </w:r>
      <w:r w:rsidR="0058246D" w:rsidRPr="00B92A10">
        <w:rPr>
          <w:rFonts w:ascii="Arial" w:hAnsi="Arial" w:cs="Arial"/>
          <w:b/>
          <w:sz w:val="24"/>
          <w:szCs w:val="24"/>
        </w:rPr>
        <w:t>DE</w:t>
      </w:r>
      <w:r w:rsidR="00E6281F" w:rsidRPr="00B92A10">
        <w:rPr>
          <w:rFonts w:ascii="Arial" w:hAnsi="Arial" w:cs="Arial"/>
          <w:b/>
          <w:sz w:val="24"/>
          <w:szCs w:val="24"/>
        </w:rPr>
        <w:t xml:space="preserve"> </w:t>
      </w:r>
      <w:r w:rsidR="00274A73" w:rsidRPr="00B92A10">
        <w:rPr>
          <w:rFonts w:ascii="Arial" w:hAnsi="Arial" w:cs="Arial"/>
          <w:b/>
          <w:sz w:val="24"/>
          <w:szCs w:val="24"/>
        </w:rPr>
        <w:t>30</w:t>
      </w:r>
      <w:r w:rsidR="000B5D2C" w:rsidRPr="00B92A10">
        <w:rPr>
          <w:rFonts w:ascii="Arial" w:hAnsi="Arial" w:cs="Arial"/>
          <w:b/>
          <w:sz w:val="24"/>
          <w:szCs w:val="24"/>
        </w:rPr>
        <w:t xml:space="preserve"> </w:t>
      </w:r>
      <w:r w:rsidR="0058246D" w:rsidRPr="00B92A10">
        <w:rPr>
          <w:rFonts w:ascii="Arial" w:hAnsi="Arial" w:cs="Arial"/>
          <w:b/>
          <w:sz w:val="24"/>
          <w:szCs w:val="24"/>
        </w:rPr>
        <w:t xml:space="preserve">DE </w:t>
      </w:r>
      <w:r w:rsidR="00274A73" w:rsidRPr="00B92A10">
        <w:rPr>
          <w:rFonts w:ascii="Arial" w:hAnsi="Arial" w:cs="Arial"/>
          <w:b/>
          <w:sz w:val="24"/>
          <w:szCs w:val="24"/>
        </w:rPr>
        <w:t>MAIO</w:t>
      </w:r>
      <w:r w:rsidR="0058246D" w:rsidRPr="00B92A10">
        <w:rPr>
          <w:rFonts w:ascii="Arial" w:hAnsi="Arial" w:cs="Arial"/>
          <w:b/>
          <w:sz w:val="24"/>
          <w:szCs w:val="24"/>
        </w:rPr>
        <w:t xml:space="preserve"> DE </w:t>
      </w:r>
      <w:r w:rsidR="00103A11" w:rsidRPr="00B92A10">
        <w:rPr>
          <w:rFonts w:ascii="Arial" w:hAnsi="Arial" w:cs="Arial"/>
          <w:b/>
          <w:sz w:val="24"/>
          <w:szCs w:val="24"/>
        </w:rPr>
        <w:t>201</w:t>
      </w:r>
      <w:r w:rsidR="0093537D" w:rsidRPr="00B92A10">
        <w:rPr>
          <w:rFonts w:ascii="Arial" w:hAnsi="Arial" w:cs="Arial"/>
          <w:b/>
          <w:sz w:val="24"/>
          <w:szCs w:val="24"/>
        </w:rPr>
        <w:t>8</w:t>
      </w:r>
      <w:r w:rsidRPr="00B92A10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9D5C8F" w:rsidRPr="00B92A10" w:rsidRDefault="007C5CD0" w:rsidP="00FC315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7B723C" w:rsidRPr="00B92A10" w:rsidRDefault="007B723C" w:rsidP="00FC3155">
      <w:pPr>
        <w:spacing w:after="0" w:line="240" w:lineRule="auto"/>
        <w:ind w:left="432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Dispõe sobre a instituição da Comissão de Devolução do Sistema Rodoviário, obj</w:t>
      </w:r>
      <w:r w:rsidR="00CB510A"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eto do contrato de concessão 00</w:t>
      </w:r>
      <w:r w:rsidR="0093537D"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8</w:t>
      </w:r>
      <w:r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/CR/1998, para o fim de verificar a presença das condições de devolução e vida útil mín</w:t>
      </w:r>
      <w:r w:rsidR="00617E48"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ima do Sistema Rodoviário, ao té</w:t>
      </w:r>
      <w:r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rmino da vigência do ajuste, nos te</w:t>
      </w:r>
      <w:r w:rsidR="00BF7679"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r</w:t>
      </w:r>
      <w:r w:rsidRPr="00B92A10">
        <w:rPr>
          <w:rFonts w:ascii="Arial" w:eastAsia="Times New Roman" w:hAnsi="Arial" w:cs="Arial"/>
          <w:b/>
          <w:i/>
          <w:sz w:val="24"/>
          <w:szCs w:val="24"/>
          <w:lang w:eastAsia="pt-BR"/>
        </w:rPr>
        <w:t>mos do Anexo 10, que o integra, e dá providências correlatas.</w:t>
      </w:r>
    </w:p>
    <w:p w:rsidR="00691F4F" w:rsidRPr="00B92A10" w:rsidRDefault="00691F4F" w:rsidP="00FC315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B723C" w:rsidRPr="00B92A10" w:rsidRDefault="007B723C" w:rsidP="00FC3155">
      <w:pPr>
        <w:spacing w:before="100" w:beforeAutospacing="1" w:after="100" w:afterAutospacing="1" w:line="360" w:lineRule="exact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O Diretor Geral da Agência </w:t>
      </w:r>
      <w:r w:rsidRPr="00B92A1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Reguladora de Serviços Públicos Delegados de Transporte do Estado de São Paulo – </w:t>
      </w:r>
      <w:r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ARTESP, no exercido da competência outorgada no artigo 10 da Lei Complementar nº 914, de 14 de janeiro de 2002, com fundamento na Deliberação CD/ARTESP nº </w:t>
      </w:r>
      <w:r w:rsidR="00274A73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793</w:t>
      </w:r>
      <w:r w:rsidR="007422F6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ª</w:t>
      </w:r>
      <w:r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de </w:t>
      </w:r>
      <w:r w:rsidR="00274A73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30</w:t>
      </w:r>
      <w:r w:rsidR="00CB510A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/</w:t>
      </w:r>
      <w:r w:rsidR="00274A73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05</w:t>
      </w:r>
      <w:r w:rsidR="00CB510A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/</w:t>
      </w:r>
      <w:r w:rsidR="00274A73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2018</w:t>
      </w:r>
      <w:r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, do Conselho Diretor [</w:t>
      </w:r>
      <w:r w:rsidRPr="00B92A1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que aprovou a criação de Equipe multidisciplinar, art. 4º XXIX, do Regimento Interno e a minuta desta portaria</w:t>
      </w:r>
      <w:r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>] e considerando o disposto nos artigos 19, I, e 20, §§1º e 2º, da Lei 7.835, de 8 de maio de 1992;</w:t>
      </w:r>
      <w:r w:rsidR="00F353EB"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</w:t>
      </w:r>
      <w:r w:rsidRPr="00B92A1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</w:p>
    <w:p w:rsidR="007B723C" w:rsidRPr="00B92A10" w:rsidRDefault="007B723C" w:rsidP="00FC3155">
      <w:pPr>
        <w:spacing w:before="100" w:beforeAutospacing="1" w:after="240" w:line="36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ser atribuição institucional da ARTESP, por intermédio de seu Conselho Diretor o gerenciamento dos contratos de prestação de serviços públicos de transporte, com vistas à satisfação do usuário nos aspectos de regularidade, continuidade, eficiência, segurança, atualidade, bem como a adoção das providências necessárias ao recebimento do sistema rodoviário concedido;</w:t>
      </w:r>
    </w:p>
    <w:p w:rsidR="007B723C" w:rsidRPr="00B92A10" w:rsidRDefault="007B723C" w:rsidP="00FC3155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que o </w:t>
      </w:r>
      <w:r w:rsidR="00CB510A" w:rsidRPr="00B92A10">
        <w:rPr>
          <w:rFonts w:ascii="Arial" w:eastAsia="Times New Roman" w:hAnsi="Arial" w:cs="Arial"/>
          <w:sz w:val="24"/>
          <w:szCs w:val="24"/>
          <w:lang w:eastAsia="pt-BR"/>
        </w:rPr>
        <w:t>Contrato de Concessão DER nº 00</w:t>
      </w:r>
      <w:r w:rsidR="0093537D" w:rsidRPr="00B92A10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, de </w:t>
      </w:r>
      <w:r w:rsidR="0093537D" w:rsidRPr="00B92A10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3537D" w:rsidRPr="00B92A10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de 1998, que tem por objeto o Sistema Rodoviário constituído pelo Lote </w:t>
      </w:r>
      <w:r w:rsidR="0093537D" w:rsidRPr="00B92A10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[</w:t>
      </w:r>
      <w:r w:rsidRPr="00B92A10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malha rodoviária de ligação entre </w:t>
      </w:r>
      <w:r w:rsidR="0093537D" w:rsidRPr="00B92A10">
        <w:rPr>
          <w:rFonts w:ascii="Arial" w:eastAsia="Times New Roman" w:hAnsi="Arial" w:cs="Arial"/>
          <w:i/>
          <w:sz w:val="24"/>
          <w:szCs w:val="24"/>
          <w:lang w:eastAsia="pt-BR"/>
        </w:rPr>
        <w:t>São Carlos, Itirapina, Brotas, Jaú e Bauru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], estará extinto, por decurso do prazo de vigência, em </w:t>
      </w:r>
      <w:r w:rsidR="0093537D" w:rsidRPr="00B92A10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BB7011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BB7011" w:rsidRPr="00B92A10">
        <w:rPr>
          <w:rFonts w:ascii="Arial" w:eastAsia="Times New Roman" w:hAnsi="Arial" w:cs="Arial"/>
          <w:sz w:val="24"/>
          <w:szCs w:val="24"/>
          <w:lang w:eastAsia="pt-BR"/>
        </w:rPr>
        <w:t>201</w:t>
      </w:r>
      <w:r w:rsidR="0093537D" w:rsidRPr="00B92A1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7B723C" w:rsidRPr="00B92A10" w:rsidRDefault="007B723C" w:rsidP="00FC3155">
      <w:pPr>
        <w:autoSpaceDE w:val="0"/>
        <w:autoSpaceDN w:val="0"/>
        <w:adjustRightInd w:val="0"/>
        <w:spacing w:after="0" w:line="36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723C" w:rsidRPr="00B92A10" w:rsidRDefault="002B31E1" w:rsidP="00FC3155">
      <w:pPr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723C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que, </w:t>
      </w:r>
      <w:r w:rsidR="007B723C" w:rsidRPr="00B92A10">
        <w:rPr>
          <w:rFonts w:ascii="Arial" w:hAnsi="Arial" w:cs="Arial"/>
          <w:sz w:val="24"/>
          <w:szCs w:val="24"/>
        </w:rPr>
        <w:t xml:space="preserve">em conformidade com o Anexo 10 ao retro citado contrato, a Concessionária estará obrigada a devolver o Sistema concedido, </w:t>
      </w:r>
      <w:r w:rsidR="007B723C" w:rsidRPr="00B92A10">
        <w:rPr>
          <w:rFonts w:ascii="Arial" w:hAnsi="Arial" w:cs="Arial"/>
          <w:i/>
          <w:sz w:val="24"/>
          <w:szCs w:val="24"/>
        </w:rPr>
        <w:t xml:space="preserve">em bom estado de conservação e operação, com a atualização adequada à época da devolução e garantia de prosseguimento da vida útil por 6 (seis) anos, após </w:t>
      </w:r>
      <w:r w:rsidR="007B723C" w:rsidRPr="00B92A10">
        <w:rPr>
          <w:rFonts w:ascii="Arial" w:hAnsi="Arial" w:cs="Arial"/>
          <w:sz w:val="24"/>
          <w:szCs w:val="24"/>
        </w:rPr>
        <w:t>sua entrega;</w:t>
      </w:r>
    </w:p>
    <w:p w:rsidR="007B723C" w:rsidRPr="00B92A10" w:rsidRDefault="007B723C" w:rsidP="00FC3155">
      <w:pPr>
        <w:pStyle w:val="Default"/>
        <w:spacing w:line="360" w:lineRule="exact"/>
        <w:jc w:val="both"/>
        <w:rPr>
          <w:rFonts w:eastAsia="Times New Roman"/>
          <w:lang w:eastAsia="pt-BR"/>
        </w:rPr>
      </w:pPr>
    </w:p>
    <w:p w:rsidR="004E68EF" w:rsidRPr="00B92A10" w:rsidRDefault="007B723C" w:rsidP="00FC3155">
      <w:pPr>
        <w:pStyle w:val="Default"/>
        <w:spacing w:line="360" w:lineRule="exact"/>
        <w:jc w:val="both"/>
        <w:rPr>
          <w:rFonts w:eastAsia="Times New Roman"/>
          <w:lang w:eastAsia="pt-BR"/>
        </w:rPr>
      </w:pPr>
      <w:r w:rsidRPr="00B92A10">
        <w:rPr>
          <w:rFonts w:eastAsia="Times New Roman"/>
          <w:b/>
          <w:lang w:eastAsia="pt-BR"/>
        </w:rPr>
        <w:t>CONSIDERANDO</w:t>
      </w:r>
      <w:r w:rsidRPr="00B92A10">
        <w:rPr>
          <w:rFonts w:eastAsia="Times New Roman"/>
          <w:lang w:eastAsia="pt-BR"/>
        </w:rPr>
        <w:t xml:space="preserve"> </w:t>
      </w:r>
      <w:r w:rsidR="004E68EF" w:rsidRPr="00B92A10">
        <w:rPr>
          <w:rFonts w:eastAsia="Times New Roman"/>
          <w:lang w:eastAsia="pt-BR"/>
        </w:rPr>
        <w:t xml:space="preserve">que se encontra em fase de estruturação para viabilizar </w:t>
      </w:r>
      <w:r w:rsidR="005C719C" w:rsidRPr="00B92A10">
        <w:rPr>
          <w:rFonts w:eastAsia="Times New Roman"/>
          <w:lang w:eastAsia="pt-BR"/>
        </w:rPr>
        <w:t>posterior</w:t>
      </w:r>
      <w:r w:rsidR="009C3B17" w:rsidRPr="00B92A10">
        <w:rPr>
          <w:rFonts w:eastAsia="Times New Roman"/>
          <w:lang w:eastAsia="pt-BR"/>
        </w:rPr>
        <w:t>(es)</w:t>
      </w:r>
      <w:r w:rsidR="004E68EF" w:rsidRPr="00B92A10">
        <w:rPr>
          <w:rFonts w:eastAsia="Times New Roman"/>
          <w:lang w:eastAsia="pt-BR"/>
        </w:rPr>
        <w:t xml:space="preserve"> procedimento</w:t>
      </w:r>
      <w:r w:rsidR="009C3B17" w:rsidRPr="00B92A10">
        <w:rPr>
          <w:rFonts w:eastAsia="Times New Roman"/>
          <w:lang w:eastAsia="pt-BR"/>
        </w:rPr>
        <w:t>(s)</w:t>
      </w:r>
      <w:r w:rsidR="004E68EF" w:rsidRPr="00B92A10">
        <w:rPr>
          <w:rFonts w:eastAsia="Times New Roman"/>
          <w:lang w:eastAsia="pt-BR"/>
        </w:rPr>
        <w:t xml:space="preserve"> de </w:t>
      </w:r>
      <w:r w:rsidR="005C719C" w:rsidRPr="00B92A10">
        <w:rPr>
          <w:rFonts w:eastAsia="Times New Roman"/>
          <w:lang w:eastAsia="pt-BR"/>
        </w:rPr>
        <w:t>licitação</w:t>
      </w:r>
      <w:r w:rsidR="00711EB6" w:rsidRPr="00B92A10">
        <w:rPr>
          <w:rFonts w:eastAsia="Times New Roman"/>
          <w:lang w:eastAsia="pt-BR"/>
        </w:rPr>
        <w:t>(</w:t>
      </w:r>
      <w:proofErr w:type="spellStart"/>
      <w:r w:rsidR="00711EB6" w:rsidRPr="00B92A10">
        <w:rPr>
          <w:rFonts w:eastAsia="Times New Roman"/>
          <w:lang w:eastAsia="pt-BR"/>
        </w:rPr>
        <w:t>ões</w:t>
      </w:r>
      <w:proofErr w:type="spellEnd"/>
      <w:r w:rsidR="00711EB6" w:rsidRPr="00B92A10">
        <w:rPr>
          <w:rFonts w:eastAsia="Times New Roman"/>
          <w:lang w:eastAsia="pt-BR"/>
        </w:rPr>
        <w:t>)</w:t>
      </w:r>
      <w:r w:rsidR="005C719C" w:rsidRPr="00B92A10">
        <w:rPr>
          <w:rFonts w:eastAsia="Times New Roman"/>
          <w:lang w:eastAsia="pt-BR"/>
        </w:rPr>
        <w:t xml:space="preserve">, na modalidade de </w:t>
      </w:r>
      <w:r w:rsidR="004E68EF" w:rsidRPr="00B92A10">
        <w:rPr>
          <w:rFonts w:eastAsia="Times New Roman"/>
          <w:lang w:eastAsia="pt-BR"/>
        </w:rPr>
        <w:t xml:space="preserve">Concorrência Pública Internacional, que </w:t>
      </w:r>
      <w:r w:rsidR="00711EB6" w:rsidRPr="00B92A10">
        <w:rPr>
          <w:rFonts w:eastAsia="Times New Roman"/>
          <w:lang w:eastAsia="pt-BR"/>
        </w:rPr>
        <w:t>poderão ter</w:t>
      </w:r>
      <w:r w:rsidR="004E68EF" w:rsidRPr="00B92A10">
        <w:rPr>
          <w:rFonts w:eastAsia="Times New Roman"/>
          <w:lang w:eastAsia="pt-BR"/>
        </w:rPr>
        <w:t xml:space="preserve"> por objeto a concessão da exploração dos serviços públicos de operação, gestão, ampliação, conservação e realização dos investimentos necessários para a exploração do Sistema Rodoviário constituído pelos segmentos rodoviários e rodovias de acesso descritas em Anexo ao edital da licitação, incluindo, </w:t>
      </w:r>
      <w:r w:rsidR="00711EB6" w:rsidRPr="00B92A10">
        <w:rPr>
          <w:rFonts w:eastAsia="Times New Roman"/>
          <w:lang w:eastAsia="pt-BR"/>
        </w:rPr>
        <w:t>parte ou todo d</w:t>
      </w:r>
      <w:r w:rsidR="004E68EF" w:rsidRPr="00B92A10">
        <w:rPr>
          <w:rFonts w:eastAsia="Times New Roman"/>
          <w:lang w:eastAsia="pt-BR"/>
        </w:rPr>
        <w:t xml:space="preserve">a malha que compõe o atual Lote 8, de 1998, uma vez finda </w:t>
      </w:r>
      <w:r w:rsidR="00711EB6" w:rsidRPr="00B92A10">
        <w:rPr>
          <w:rFonts w:eastAsia="Times New Roman"/>
          <w:lang w:eastAsia="pt-BR"/>
        </w:rPr>
        <w:t xml:space="preserve">esta </w:t>
      </w:r>
      <w:r w:rsidR="004E68EF" w:rsidRPr="00B92A10">
        <w:rPr>
          <w:rFonts w:eastAsia="Times New Roman"/>
          <w:lang w:eastAsia="pt-BR"/>
        </w:rPr>
        <w:t xml:space="preserve">concessão;  </w:t>
      </w:r>
    </w:p>
    <w:p w:rsidR="007B723C" w:rsidRPr="00B92A10" w:rsidRDefault="007B723C" w:rsidP="00FC3155">
      <w:pPr>
        <w:spacing w:before="100" w:beforeAutospacing="1" w:after="100" w:afterAutospacing="1" w:line="360" w:lineRule="exact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que, será mais eficiente, racional e econômico ao Estado a transferência direta do Sistema </w:t>
      </w:r>
      <w:proofErr w:type="gramStart"/>
      <w:r w:rsidRPr="00B92A10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s)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>futura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adjudicatária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eventua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l(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>is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711EB6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>certame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supracitado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>, sem prejuízo da participação da ARTESP, como representante do Poder Concedente e como Agência Reguladora de Transportes do Estado;</w:t>
      </w:r>
    </w:p>
    <w:p w:rsidR="007B723C" w:rsidRPr="00B92A10" w:rsidRDefault="007B723C" w:rsidP="00FC3155">
      <w:pPr>
        <w:spacing w:before="100" w:beforeAutospacing="1" w:after="100" w:afterAutospacing="1" w:line="360" w:lineRule="exact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proofErr w:type="gramStart"/>
      <w:r w:rsidRPr="00B92A1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s)</w:t>
      </w:r>
      <w:r w:rsidR="00E10A52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futura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E10A52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6A6D" w:rsidRPr="00B92A10">
        <w:rPr>
          <w:rFonts w:ascii="Arial" w:eastAsia="Times New Roman" w:hAnsi="Arial" w:cs="Arial"/>
          <w:sz w:val="24"/>
          <w:szCs w:val="24"/>
          <w:lang w:eastAsia="pt-BR"/>
        </w:rPr>
        <w:t>Adjudicatária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AC6A6D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AC6A6D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Concorrência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AC6A6D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Pública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AC6A6D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Internacional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(is)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a ser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(em)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realizada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pela </w:t>
      </w:r>
      <w:r w:rsidR="00AC6A6D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ARTESP 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>será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4E68EF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>legítima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interessada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no acompanhamento das vistorias sobre as condições de devolução do Sistema, que irá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receber, ao t</w:t>
      </w:r>
      <w:r w:rsidR="008768E1" w:rsidRPr="00B92A10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>rmino do Contrato de Concessão 00</w:t>
      </w:r>
      <w:r w:rsidR="00E10A52" w:rsidRPr="00B92A10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/CR/1998; </w:t>
      </w:r>
    </w:p>
    <w:p w:rsidR="007B723C" w:rsidRPr="00B92A10" w:rsidRDefault="007B723C" w:rsidP="00FC3155">
      <w:pPr>
        <w:spacing w:before="100" w:beforeAutospacing="1" w:after="100" w:afterAutospacing="1" w:line="360" w:lineRule="exact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que esse acompanhamento dos trabalhos da Comissão de Devolução, por representantes </w:t>
      </w:r>
      <w:proofErr w:type="gramStart"/>
      <w:r w:rsidRPr="00B92A10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s)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A52" w:rsidRPr="00B92A10">
        <w:rPr>
          <w:rFonts w:ascii="Arial" w:eastAsia="Times New Roman" w:hAnsi="Arial" w:cs="Arial"/>
          <w:sz w:val="24"/>
          <w:szCs w:val="24"/>
          <w:lang w:eastAsia="pt-BR"/>
        </w:rPr>
        <w:t>futura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="00E10A52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Adjudicatária</w:t>
      </w:r>
      <w:r w:rsidR="007772FC" w:rsidRPr="00B92A10"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>, sem poder de decisão, não fere direitos da Concessionária</w:t>
      </w:r>
      <w:r w:rsidR="008768E1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E10A52" w:rsidRPr="00B92A10">
        <w:rPr>
          <w:rFonts w:ascii="Arial" w:eastAsia="Times New Roman" w:hAnsi="Arial" w:cs="Arial"/>
          <w:sz w:val="24"/>
          <w:szCs w:val="24"/>
          <w:lang w:eastAsia="pt-BR"/>
        </w:rPr>
        <w:t>Centrovias</w:t>
      </w:r>
      <w:proofErr w:type="spellEnd"/>
      <w:r w:rsidR="008768E1"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S.A.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>, cuja conduta, na qualidade de prestadora de serviço público, deve pautar-se pela transparência e colaboração, para que não haja descontinuidade do serviço até então por ela prestado;</w:t>
      </w:r>
    </w:p>
    <w:p w:rsidR="007B723C" w:rsidRPr="00B92A10" w:rsidRDefault="007B723C" w:rsidP="00FC3155">
      <w:pPr>
        <w:spacing w:before="100" w:beforeAutospacing="1" w:after="100" w:afterAutospacing="1" w:line="360" w:lineRule="exact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DECIDE</w:t>
      </w:r>
    </w:p>
    <w:p w:rsidR="007B723C" w:rsidRPr="00B92A10" w:rsidRDefault="007B723C" w:rsidP="00FC3155">
      <w:pPr>
        <w:pStyle w:val="Corpodetexto"/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1º</w:t>
      </w:r>
      <w:r w:rsidRPr="00B92A10">
        <w:rPr>
          <w:sz w:val="24"/>
          <w:szCs w:val="24"/>
          <w:lang w:val="pt-BR"/>
        </w:rPr>
        <w:t xml:space="preserve"> - Fica instituída, junto ao Conselho Diretor, Comissão de Devolução do Sistema Rodoviário constituído pela </w:t>
      </w:r>
      <w:r w:rsidRPr="00B92A10">
        <w:rPr>
          <w:rFonts w:eastAsia="Times New Roman"/>
          <w:sz w:val="24"/>
          <w:szCs w:val="24"/>
          <w:lang w:val="pt-BR" w:eastAsia="pt-BR"/>
        </w:rPr>
        <w:t>malha rod</w:t>
      </w:r>
      <w:r w:rsidR="0065588F" w:rsidRPr="00B92A10">
        <w:rPr>
          <w:rFonts w:eastAsia="Times New Roman"/>
          <w:sz w:val="24"/>
          <w:szCs w:val="24"/>
          <w:lang w:val="pt-BR" w:eastAsia="pt-BR"/>
        </w:rPr>
        <w:t xml:space="preserve">oviária de ligação entre </w:t>
      </w:r>
      <w:r w:rsidR="009A3702" w:rsidRPr="00B92A10">
        <w:rPr>
          <w:rFonts w:eastAsia="Times New Roman"/>
          <w:sz w:val="24"/>
          <w:szCs w:val="24"/>
          <w:lang w:val="pt-BR" w:eastAsia="pt-BR"/>
        </w:rPr>
        <w:t>São Carlos, Itirapina, Brotas, Jaú e Bauru</w:t>
      </w:r>
      <w:r w:rsidR="006A6AA1" w:rsidRPr="00B92A10">
        <w:rPr>
          <w:rFonts w:eastAsia="Times New Roman"/>
          <w:i/>
          <w:sz w:val="24"/>
          <w:szCs w:val="24"/>
          <w:lang w:val="pt-BR" w:eastAsia="pt-BR"/>
        </w:rPr>
        <w:t>,</w:t>
      </w:r>
      <w:r w:rsidRPr="00B92A10">
        <w:rPr>
          <w:rFonts w:eastAsia="Times New Roman"/>
          <w:sz w:val="24"/>
          <w:szCs w:val="24"/>
          <w:lang w:val="pt-BR" w:eastAsia="pt-BR"/>
        </w:rPr>
        <w:t xml:space="preserve"> </w:t>
      </w:r>
      <w:r w:rsidRPr="00B92A10">
        <w:rPr>
          <w:sz w:val="24"/>
          <w:szCs w:val="24"/>
          <w:lang w:val="pt-BR"/>
        </w:rPr>
        <w:t xml:space="preserve">que compõe o Lote </w:t>
      </w:r>
      <w:r w:rsidR="009A3702" w:rsidRPr="00B92A10">
        <w:rPr>
          <w:sz w:val="24"/>
          <w:szCs w:val="24"/>
          <w:lang w:val="pt-BR"/>
        </w:rPr>
        <w:t>08</w:t>
      </w:r>
      <w:r w:rsidRPr="00B92A10">
        <w:rPr>
          <w:sz w:val="24"/>
          <w:szCs w:val="24"/>
          <w:lang w:val="pt-BR"/>
        </w:rPr>
        <w:t xml:space="preserve"> objeto do Contrato de Concessão nº 00</w:t>
      </w:r>
      <w:r w:rsidR="009A3702" w:rsidRPr="00B92A10">
        <w:rPr>
          <w:sz w:val="24"/>
          <w:szCs w:val="24"/>
          <w:lang w:val="pt-BR"/>
        </w:rPr>
        <w:t>8</w:t>
      </w:r>
      <w:r w:rsidRPr="00B92A10">
        <w:rPr>
          <w:sz w:val="24"/>
          <w:szCs w:val="24"/>
          <w:lang w:val="pt-BR"/>
        </w:rPr>
        <w:t xml:space="preserve">, de </w:t>
      </w:r>
      <w:r w:rsidR="009A3702" w:rsidRPr="00B92A10">
        <w:rPr>
          <w:sz w:val="24"/>
          <w:szCs w:val="24"/>
          <w:lang w:val="pt-BR"/>
        </w:rPr>
        <w:t>09</w:t>
      </w:r>
      <w:r w:rsidRPr="00B92A10">
        <w:rPr>
          <w:sz w:val="24"/>
          <w:szCs w:val="24"/>
          <w:lang w:val="pt-BR"/>
        </w:rPr>
        <w:t xml:space="preserve"> de </w:t>
      </w:r>
      <w:r w:rsidR="009A3702" w:rsidRPr="00B92A10">
        <w:rPr>
          <w:sz w:val="24"/>
          <w:szCs w:val="24"/>
          <w:lang w:val="pt-BR"/>
        </w:rPr>
        <w:t>junho</w:t>
      </w:r>
      <w:r w:rsidRPr="00B92A10">
        <w:rPr>
          <w:sz w:val="24"/>
          <w:szCs w:val="24"/>
          <w:lang w:val="pt-BR"/>
        </w:rPr>
        <w:t xml:space="preserve"> de 1998, em vias de extinção por decurso da vigência, com a finalidade verificar a existência das condições fundamentais para sua restituição, em conformidade com o Anexo 10 do contrato 00</w:t>
      </w:r>
      <w:r w:rsidR="009A3702" w:rsidRPr="00B92A10">
        <w:rPr>
          <w:sz w:val="24"/>
          <w:szCs w:val="24"/>
          <w:lang w:val="pt-BR"/>
        </w:rPr>
        <w:t>8</w:t>
      </w:r>
      <w:r w:rsidR="008768E1" w:rsidRPr="00B92A10">
        <w:rPr>
          <w:sz w:val="24"/>
          <w:szCs w:val="24"/>
          <w:lang w:val="pt-BR"/>
        </w:rPr>
        <w:t>/CR</w:t>
      </w:r>
      <w:r w:rsidRPr="00B92A10">
        <w:rPr>
          <w:sz w:val="24"/>
          <w:szCs w:val="24"/>
          <w:lang w:val="pt-BR"/>
        </w:rPr>
        <w:t xml:space="preserve">/1998, o qual passa a fazer parte integrante desta Portaria, como Anexo 1. </w:t>
      </w:r>
    </w:p>
    <w:p w:rsidR="007B723C" w:rsidRPr="00B92A10" w:rsidRDefault="007B723C" w:rsidP="00FC3155">
      <w:pPr>
        <w:pStyle w:val="Corpodetexto"/>
        <w:spacing w:line="360" w:lineRule="exact"/>
        <w:jc w:val="both"/>
        <w:rPr>
          <w:b/>
          <w:sz w:val="24"/>
          <w:szCs w:val="24"/>
          <w:lang w:val="pt-BR"/>
        </w:rPr>
      </w:pPr>
    </w:p>
    <w:p w:rsidR="005F54BA" w:rsidRPr="00B92A10" w:rsidRDefault="005F54BA" w:rsidP="005F54BA">
      <w:pPr>
        <w:pStyle w:val="Corpodetexto"/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§1º</w:t>
      </w:r>
      <w:r w:rsidRPr="00B92A10">
        <w:rPr>
          <w:sz w:val="24"/>
          <w:szCs w:val="24"/>
          <w:lang w:val="pt-BR"/>
        </w:rPr>
        <w:t xml:space="preserve"> - A Comissão será integrada por representantes da ARTESP e, em igual número, da Concessionária </w:t>
      </w:r>
      <w:r w:rsidR="009A3702" w:rsidRPr="00B92A10">
        <w:rPr>
          <w:sz w:val="24"/>
          <w:szCs w:val="24"/>
          <w:lang w:val="pt-BR"/>
        </w:rPr>
        <w:t>CENTROVIAS</w:t>
      </w:r>
      <w:r w:rsidRPr="00B92A10">
        <w:rPr>
          <w:sz w:val="24"/>
          <w:szCs w:val="24"/>
          <w:lang w:val="pt-BR"/>
        </w:rPr>
        <w:t xml:space="preserve">, </w:t>
      </w:r>
      <w:r w:rsidR="00BD4F0A" w:rsidRPr="00B92A10">
        <w:rPr>
          <w:sz w:val="24"/>
          <w:szCs w:val="24"/>
          <w:lang w:val="pt-BR"/>
        </w:rPr>
        <w:t xml:space="preserve">sendo que </w:t>
      </w:r>
      <w:r w:rsidRPr="00B92A10">
        <w:rPr>
          <w:sz w:val="24"/>
          <w:szCs w:val="24"/>
          <w:lang w:val="pt-BR"/>
        </w:rPr>
        <w:t xml:space="preserve">também contará com até 4 (quatro) integrantes do DER, podendo seus trabalhos serem acompanhados por até 4 (quatro) representantes </w:t>
      </w:r>
      <w:proofErr w:type="gramStart"/>
      <w:r w:rsidRPr="00B92A10">
        <w:rPr>
          <w:sz w:val="24"/>
          <w:szCs w:val="24"/>
          <w:lang w:val="pt-BR"/>
        </w:rPr>
        <w:t>da</w:t>
      </w:r>
      <w:r w:rsidR="009F0700" w:rsidRPr="00B92A10">
        <w:rPr>
          <w:sz w:val="24"/>
          <w:szCs w:val="24"/>
          <w:lang w:val="pt-BR"/>
        </w:rPr>
        <w:t>(</w:t>
      </w:r>
      <w:proofErr w:type="gramEnd"/>
      <w:r w:rsidR="009F0700" w:rsidRPr="00B92A10">
        <w:rPr>
          <w:sz w:val="24"/>
          <w:szCs w:val="24"/>
          <w:lang w:val="pt-BR"/>
        </w:rPr>
        <w:t>s)</w:t>
      </w:r>
      <w:r w:rsidRPr="00B92A10">
        <w:rPr>
          <w:sz w:val="24"/>
          <w:szCs w:val="24"/>
          <w:lang w:val="pt-BR"/>
        </w:rPr>
        <w:t xml:space="preserve"> </w:t>
      </w:r>
      <w:r w:rsidR="009F0700" w:rsidRPr="00B92A10">
        <w:rPr>
          <w:sz w:val="24"/>
          <w:szCs w:val="24"/>
          <w:lang w:val="pt-BR"/>
        </w:rPr>
        <w:t xml:space="preserve">eventual(is) </w:t>
      </w:r>
      <w:r w:rsidR="009A3702" w:rsidRPr="00B92A10">
        <w:rPr>
          <w:sz w:val="24"/>
          <w:szCs w:val="24"/>
          <w:lang w:val="pt-BR"/>
        </w:rPr>
        <w:t>Adjudicatária</w:t>
      </w:r>
      <w:r w:rsidR="009F0700" w:rsidRPr="00B92A10">
        <w:rPr>
          <w:sz w:val="24"/>
          <w:szCs w:val="24"/>
          <w:lang w:val="pt-BR"/>
        </w:rPr>
        <w:t>(s)</w:t>
      </w:r>
      <w:r w:rsidR="009A3702" w:rsidRPr="00B92A10">
        <w:rPr>
          <w:sz w:val="24"/>
          <w:szCs w:val="24"/>
          <w:lang w:val="pt-BR"/>
        </w:rPr>
        <w:t xml:space="preserve"> do</w:t>
      </w:r>
      <w:r w:rsidR="009F0700" w:rsidRPr="00B92A10">
        <w:rPr>
          <w:sz w:val="24"/>
          <w:szCs w:val="24"/>
          <w:lang w:val="pt-BR"/>
        </w:rPr>
        <w:t>(s)</w:t>
      </w:r>
      <w:r w:rsidR="009A3702" w:rsidRPr="00B92A10">
        <w:rPr>
          <w:sz w:val="24"/>
          <w:szCs w:val="24"/>
          <w:lang w:val="pt-BR"/>
        </w:rPr>
        <w:t xml:space="preserve"> novo</w:t>
      </w:r>
      <w:r w:rsidR="009F0700" w:rsidRPr="00B92A10">
        <w:rPr>
          <w:sz w:val="24"/>
          <w:szCs w:val="24"/>
          <w:lang w:val="pt-BR"/>
        </w:rPr>
        <w:t>(s)</w:t>
      </w:r>
      <w:r w:rsidR="009A3702" w:rsidRPr="00B92A10">
        <w:rPr>
          <w:sz w:val="24"/>
          <w:szCs w:val="24"/>
          <w:lang w:val="pt-BR"/>
        </w:rPr>
        <w:t xml:space="preserve"> lote</w:t>
      </w:r>
      <w:r w:rsidR="009F0700" w:rsidRPr="00B92A10">
        <w:rPr>
          <w:sz w:val="24"/>
          <w:szCs w:val="24"/>
          <w:lang w:val="pt-BR"/>
        </w:rPr>
        <w:t>(s), por lote</w:t>
      </w:r>
      <w:r w:rsidRPr="00B92A10">
        <w:rPr>
          <w:sz w:val="24"/>
          <w:szCs w:val="24"/>
          <w:lang w:val="pt-BR"/>
        </w:rPr>
        <w:t xml:space="preserve">. </w:t>
      </w:r>
    </w:p>
    <w:p w:rsidR="005F54BA" w:rsidRPr="00B92A10" w:rsidRDefault="005F54BA" w:rsidP="00FA296F">
      <w:pPr>
        <w:spacing w:before="100" w:beforeAutospacing="1" w:after="100" w:afterAutospacing="1" w:line="36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2A10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 - Os integrantes da Comissão de Devolução representantes do DER, da ARTESP e Concessionária </w:t>
      </w:r>
      <w:r w:rsidR="009A3702" w:rsidRPr="00B92A10">
        <w:rPr>
          <w:rFonts w:ascii="Arial" w:eastAsia="Times New Roman" w:hAnsi="Arial" w:cs="Arial"/>
          <w:sz w:val="24"/>
          <w:szCs w:val="24"/>
          <w:lang w:eastAsia="pt-BR"/>
        </w:rPr>
        <w:t>CENTROVIAS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 xml:space="preserve">, bem como respectivos suplentes, serão indicados mediante mensagem eletrônica, que será encartada no processo a ser instaurado para tratar da devolução, ou transferência, do Sistema Rodoviário (Lote </w:t>
      </w:r>
      <w:r w:rsidR="009A3702" w:rsidRPr="00B92A10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Pr="00B92A10">
        <w:rPr>
          <w:rFonts w:ascii="Arial" w:eastAsia="Times New Roman" w:hAnsi="Arial" w:cs="Arial"/>
          <w:sz w:val="24"/>
          <w:szCs w:val="24"/>
          <w:lang w:eastAsia="pt-BR"/>
        </w:rPr>
        <w:t>), e designados por despacho do Diretor Geral da ARTESP, exarado no respectivo processo.</w:t>
      </w:r>
      <w:r w:rsidR="00103208" w:rsidRPr="00B92A10">
        <w:rPr>
          <w:sz w:val="24"/>
          <w:szCs w:val="24"/>
        </w:rPr>
        <w:t xml:space="preserve"> </w:t>
      </w:r>
    </w:p>
    <w:p w:rsidR="007B723C" w:rsidRPr="00B92A10" w:rsidRDefault="007B723C" w:rsidP="00FC315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>§3º</w:t>
      </w:r>
      <w:r w:rsidRPr="00B92A10">
        <w:rPr>
          <w:rFonts w:ascii="Arial" w:hAnsi="Arial" w:cs="Arial"/>
          <w:sz w:val="24"/>
          <w:szCs w:val="24"/>
        </w:rPr>
        <w:t xml:space="preserve"> - Na indicação dos representantes deverá constar o nome, a profissão, RG, o endereço eletrônico e n</w:t>
      </w:r>
      <w:r w:rsidR="00B0275E" w:rsidRPr="00B92A10">
        <w:rPr>
          <w:rFonts w:ascii="Arial" w:hAnsi="Arial" w:cs="Arial"/>
          <w:sz w:val="24"/>
          <w:szCs w:val="24"/>
        </w:rPr>
        <w:t>ú</w:t>
      </w:r>
      <w:r w:rsidRPr="00B92A10">
        <w:rPr>
          <w:rFonts w:ascii="Arial" w:hAnsi="Arial" w:cs="Arial"/>
          <w:sz w:val="24"/>
          <w:szCs w:val="24"/>
        </w:rPr>
        <w:t>mero de celular, inclusive dos suplentes.</w:t>
      </w:r>
    </w:p>
    <w:p w:rsidR="007B723C" w:rsidRPr="00B92A10" w:rsidRDefault="007B723C" w:rsidP="00A82CF3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>§4º</w:t>
      </w:r>
      <w:r w:rsidRPr="00B92A10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B92A10">
        <w:rPr>
          <w:rFonts w:ascii="Arial" w:hAnsi="Arial" w:cs="Arial"/>
          <w:sz w:val="24"/>
          <w:szCs w:val="24"/>
        </w:rPr>
        <w:t>A</w:t>
      </w:r>
      <w:r w:rsidR="009F0700" w:rsidRPr="00B92A10">
        <w:rPr>
          <w:rFonts w:ascii="Arial" w:hAnsi="Arial" w:cs="Arial"/>
          <w:sz w:val="24"/>
          <w:szCs w:val="24"/>
        </w:rPr>
        <w:t>(</w:t>
      </w:r>
      <w:proofErr w:type="gramEnd"/>
      <w:r w:rsidR="009F0700" w:rsidRPr="00B92A10">
        <w:rPr>
          <w:rFonts w:ascii="Arial" w:hAnsi="Arial" w:cs="Arial"/>
          <w:sz w:val="24"/>
          <w:szCs w:val="24"/>
        </w:rPr>
        <w:t>s)</w:t>
      </w:r>
      <w:r w:rsidRPr="00B92A10">
        <w:rPr>
          <w:rFonts w:ascii="Arial" w:hAnsi="Arial" w:cs="Arial"/>
          <w:sz w:val="24"/>
          <w:szCs w:val="24"/>
        </w:rPr>
        <w:t xml:space="preserve"> </w:t>
      </w:r>
      <w:r w:rsidR="009F0700" w:rsidRPr="00B92A10">
        <w:rPr>
          <w:rFonts w:ascii="Arial" w:hAnsi="Arial" w:cs="Arial"/>
          <w:sz w:val="24"/>
          <w:szCs w:val="24"/>
        </w:rPr>
        <w:t xml:space="preserve">eventual(is) </w:t>
      </w:r>
      <w:r w:rsidR="009A3702" w:rsidRPr="00B92A10">
        <w:rPr>
          <w:rFonts w:ascii="Arial" w:hAnsi="Arial" w:cs="Arial"/>
          <w:sz w:val="24"/>
          <w:szCs w:val="24"/>
        </w:rPr>
        <w:t>Adjudicatária</w:t>
      </w:r>
      <w:r w:rsidR="009F0700" w:rsidRPr="00B92A10">
        <w:rPr>
          <w:rFonts w:ascii="Arial" w:hAnsi="Arial" w:cs="Arial"/>
          <w:sz w:val="24"/>
          <w:szCs w:val="24"/>
        </w:rPr>
        <w:t>(s)</w:t>
      </w:r>
      <w:r w:rsidR="009A3702" w:rsidRPr="00B92A10">
        <w:rPr>
          <w:rFonts w:ascii="Arial" w:hAnsi="Arial" w:cs="Arial"/>
          <w:sz w:val="24"/>
          <w:szCs w:val="24"/>
        </w:rPr>
        <w:t xml:space="preserve"> do</w:t>
      </w:r>
      <w:r w:rsidR="009F0700" w:rsidRPr="00B92A10">
        <w:rPr>
          <w:rFonts w:ascii="Arial" w:hAnsi="Arial" w:cs="Arial"/>
          <w:sz w:val="24"/>
          <w:szCs w:val="24"/>
        </w:rPr>
        <w:t>(s)</w:t>
      </w:r>
      <w:r w:rsidR="009A3702" w:rsidRPr="00B92A10">
        <w:rPr>
          <w:rFonts w:ascii="Arial" w:hAnsi="Arial" w:cs="Arial"/>
          <w:sz w:val="24"/>
          <w:szCs w:val="24"/>
        </w:rPr>
        <w:t xml:space="preserve"> novo</w:t>
      </w:r>
      <w:r w:rsidR="009F0700" w:rsidRPr="00B92A10">
        <w:rPr>
          <w:rFonts w:ascii="Arial" w:hAnsi="Arial" w:cs="Arial"/>
          <w:sz w:val="24"/>
          <w:szCs w:val="24"/>
        </w:rPr>
        <w:t>(s)</w:t>
      </w:r>
      <w:r w:rsidR="009A3702" w:rsidRPr="00B92A10">
        <w:rPr>
          <w:rFonts w:ascii="Arial" w:hAnsi="Arial" w:cs="Arial"/>
          <w:sz w:val="24"/>
          <w:szCs w:val="24"/>
        </w:rPr>
        <w:t xml:space="preserve"> lote</w:t>
      </w:r>
      <w:r w:rsidR="009F0700" w:rsidRPr="00B92A10">
        <w:rPr>
          <w:rFonts w:ascii="Arial" w:hAnsi="Arial" w:cs="Arial"/>
          <w:sz w:val="24"/>
          <w:szCs w:val="24"/>
        </w:rPr>
        <w:t>(s) que tenham</w:t>
      </w:r>
      <w:r w:rsidR="009615FA" w:rsidRPr="00B92A10">
        <w:rPr>
          <w:rFonts w:ascii="Arial" w:hAnsi="Arial" w:cs="Arial"/>
          <w:sz w:val="24"/>
          <w:szCs w:val="24"/>
        </w:rPr>
        <w:t xml:space="preserve"> por objeto, em parte ou no todo, trechos da malha viária atualmente objeto do contrato 008/CR/1998</w:t>
      </w:r>
      <w:r w:rsidR="009A3702" w:rsidRPr="00B92A10">
        <w:rPr>
          <w:rFonts w:ascii="Arial" w:hAnsi="Arial" w:cs="Arial"/>
          <w:sz w:val="24"/>
          <w:szCs w:val="24"/>
        </w:rPr>
        <w:t xml:space="preserve"> </w:t>
      </w:r>
      <w:r w:rsidRPr="00B92A10">
        <w:rPr>
          <w:rFonts w:ascii="Arial" w:hAnsi="Arial" w:cs="Arial"/>
          <w:sz w:val="24"/>
          <w:szCs w:val="24"/>
        </w:rPr>
        <w:t>poderá</w:t>
      </w:r>
      <w:r w:rsidR="00467B9B" w:rsidRPr="00B92A10">
        <w:rPr>
          <w:rFonts w:ascii="Arial" w:hAnsi="Arial" w:cs="Arial"/>
          <w:sz w:val="24"/>
          <w:szCs w:val="24"/>
        </w:rPr>
        <w:t>(</w:t>
      </w:r>
      <w:proofErr w:type="spellStart"/>
      <w:r w:rsidR="00467B9B" w:rsidRPr="00B92A10">
        <w:rPr>
          <w:rFonts w:ascii="Arial" w:hAnsi="Arial" w:cs="Arial"/>
          <w:sz w:val="24"/>
          <w:szCs w:val="24"/>
        </w:rPr>
        <w:t>ão</w:t>
      </w:r>
      <w:proofErr w:type="spellEnd"/>
      <w:r w:rsidR="00467B9B" w:rsidRPr="00B92A10">
        <w:rPr>
          <w:rFonts w:ascii="Arial" w:hAnsi="Arial" w:cs="Arial"/>
          <w:sz w:val="24"/>
          <w:szCs w:val="24"/>
        </w:rPr>
        <w:t>)</w:t>
      </w:r>
      <w:r w:rsidRPr="00B92A10">
        <w:rPr>
          <w:rFonts w:ascii="Arial" w:hAnsi="Arial" w:cs="Arial"/>
          <w:sz w:val="24"/>
          <w:szCs w:val="24"/>
        </w:rPr>
        <w:t xml:space="preserve"> indicar seus representantes e suplentes na Comissão de Devolução</w:t>
      </w:r>
      <w:r w:rsidR="00C3486D" w:rsidRPr="00B92A10">
        <w:rPr>
          <w:rFonts w:ascii="Arial" w:hAnsi="Arial" w:cs="Arial"/>
          <w:sz w:val="24"/>
          <w:szCs w:val="24"/>
        </w:rPr>
        <w:t xml:space="preserve"> em até 5 dias da data de sua</w:t>
      </w:r>
      <w:r w:rsidR="00C56845" w:rsidRPr="00B92A10">
        <w:rPr>
          <w:rFonts w:ascii="Arial" w:hAnsi="Arial" w:cs="Arial"/>
          <w:sz w:val="24"/>
          <w:szCs w:val="24"/>
        </w:rPr>
        <w:t xml:space="preserve"> notificação por mensagem eletrônica a ser encaminhada pela ARTESP</w:t>
      </w:r>
      <w:r w:rsidR="00556944" w:rsidRPr="00B92A10">
        <w:rPr>
          <w:rFonts w:ascii="Arial" w:hAnsi="Arial" w:cs="Arial"/>
          <w:sz w:val="24"/>
          <w:szCs w:val="24"/>
        </w:rPr>
        <w:t>.</w:t>
      </w:r>
    </w:p>
    <w:p w:rsidR="002C15E4" w:rsidRPr="00B92A10" w:rsidRDefault="007B723C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>§5º</w:t>
      </w:r>
      <w:r w:rsidRPr="00B92A10">
        <w:rPr>
          <w:rFonts w:ascii="Arial" w:hAnsi="Arial" w:cs="Arial"/>
          <w:sz w:val="24"/>
          <w:szCs w:val="24"/>
        </w:rPr>
        <w:t xml:space="preserve"> - No despacho a que se refere o § 2º deste artigo, o Diretor Geral designará o responsável pela coordenação dos trabalhos da Comissão.  </w:t>
      </w:r>
      <w:r w:rsidRPr="00B92A10" w:rsidDel="002B73CF">
        <w:rPr>
          <w:rFonts w:ascii="Arial" w:hAnsi="Arial" w:cs="Arial"/>
          <w:sz w:val="24"/>
          <w:szCs w:val="24"/>
        </w:rPr>
        <w:t xml:space="preserve"> </w:t>
      </w:r>
    </w:p>
    <w:p w:rsidR="007B723C" w:rsidRPr="00B92A10" w:rsidRDefault="007B723C" w:rsidP="00FC315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lastRenderedPageBreak/>
        <w:t>Artigo 2º</w:t>
      </w:r>
      <w:r w:rsidRPr="00B92A10">
        <w:rPr>
          <w:rFonts w:ascii="Arial" w:hAnsi="Arial" w:cs="Arial"/>
          <w:sz w:val="24"/>
          <w:szCs w:val="24"/>
        </w:rPr>
        <w:t xml:space="preserve"> - As atividades da Comissão de Devolução deverão ser pautadas pelos seguintes critérios: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 - </w:t>
      </w:r>
      <w:proofErr w:type="gramStart"/>
      <w:r w:rsidRPr="00B92A10">
        <w:rPr>
          <w:sz w:val="24"/>
          <w:szCs w:val="24"/>
          <w:lang w:val="pt-BR"/>
        </w:rPr>
        <w:t>adequado</w:t>
      </w:r>
      <w:proofErr w:type="gramEnd"/>
      <w:r w:rsidRPr="00B92A10">
        <w:rPr>
          <w:sz w:val="24"/>
          <w:szCs w:val="24"/>
          <w:lang w:val="pt-BR"/>
        </w:rPr>
        <w:t xml:space="preserve"> e pleno restituição dos direitos, privilégios e reversão dos bens vinculados à prestação do serviço objeto da Concessão vincenda;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II - </w:t>
      </w:r>
      <w:proofErr w:type="gramStart"/>
      <w:r w:rsidRPr="00B92A10">
        <w:rPr>
          <w:sz w:val="24"/>
          <w:szCs w:val="24"/>
          <w:lang w:val="pt-BR"/>
        </w:rPr>
        <w:t>continuidade</w:t>
      </w:r>
      <w:proofErr w:type="gramEnd"/>
      <w:r w:rsidRPr="00B92A10">
        <w:rPr>
          <w:sz w:val="24"/>
          <w:szCs w:val="24"/>
          <w:lang w:val="pt-BR"/>
        </w:rPr>
        <w:t xml:space="preserve"> da prestação do serviço público;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>III - preservação dos diretos dos usuários e do Poder</w:t>
      </w:r>
      <w:r w:rsidRPr="00B92A10">
        <w:rPr>
          <w:spacing w:val="-12"/>
          <w:sz w:val="24"/>
          <w:szCs w:val="24"/>
          <w:lang w:val="pt-BR"/>
        </w:rPr>
        <w:t xml:space="preserve"> </w:t>
      </w:r>
      <w:r w:rsidRPr="00B92A10">
        <w:rPr>
          <w:sz w:val="24"/>
          <w:szCs w:val="24"/>
          <w:lang w:val="pt-BR"/>
        </w:rPr>
        <w:t>Concedente.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3º</w:t>
      </w:r>
      <w:r w:rsidRPr="00B92A10">
        <w:rPr>
          <w:sz w:val="24"/>
          <w:szCs w:val="24"/>
          <w:lang w:val="pt-BR"/>
        </w:rPr>
        <w:t xml:space="preserve"> - Para cumprimento de seu desiderato, a Comissão de Devolução terá as seguintes atribuições: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 - </w:t>
      </w:r>
      <w:proofErr w:type="gramStart"/>
      <w:r w:rsidRPr="00B92A10">
        <w:rPr>
          <w:sz w:val="24"/>
          <w:szCs w:val="24"/>
          <w:lang w:val="pt-BR"/>
        </w:rPr>
        <w:t>realizar</w:t>
      </w:r>
      <w:proofErr w:type="gramEnd"/>
      <w:r w:rsidRPr="00B92A10">
        <w:rPr>
          <w:sz w:val="24"/>
          <w:szCs w:val="24"/>
          <w:lang w:val="pt-BR"/>
        </w:rPr>
        <w:t xml:space="preserve"> vistoria pr</w:t>
      </w:r>
      <w:r w:rsidR="005E4BD6" w:rsidRPr="00B92A10">
        <w:rPr>
          <w:sz w:val="24"/>
          <w:szCs w:val="24"/>
          <w:lang w:val="pt-BR"/>
        </w:rPr>
        <w:t>é</w:t>
      </w:r>
      <w:r w:rsidRPr="00B92A10">
        <w:rPr>
          <w:sz w:val="24"/>
          <w:szCs w:val="24"/>
          <w:lang w:val="pt-BR"/>
        </w:rPr>
        <w:t xml:space="preserve">via e intermediárias do Sistema Rodoviário a ser restituído ao Poder Concedente, ou transferido diretamente à </w:t>
      </w:r>
      <w:r w:rsidR="00205C65" w:rsidRPr="00B92A10">
        <w:rPr>
          <w:sz w:val="24"/>
          <w:szCs w:val="24"/>
          <w:lang w:val="pt-BR"/>
        </w:rPr>
        <w:t>Adjudicatária do novo lote</w:t>
      </w:r>
      <w:r w:rsidR="00D71E90" w:rsidRPr="00B92A10">
        <w:rPr>
          <w:sz w:val="24"/>
          <w:szCs w:val="24"/>
          <w:lang w:val="pt-BR"/>
        </w:rPr>
        <w:t>,</w:t>
      </w:r>
      <w:r w:rsidRPr="00B92A10">
        <w:rPr>
          <w:sz w:val="24"/>
          <w:szCs w:val="24"/>
          <w:lang w:val="pt-BR"/>
        </w:rPr>
        <w:t xml:space="preserve"> e elaborar os respectivos relatórios;</w:t>
      </w:r>
    </w:p>
    <w:p w:rsidR="007B723C" w:rsidRPr="00B92A10" w:rsidRDefault="007B723C" w:rsidP="00FC3155">
      <w:pPr>
        <w:pStyle w:val="PargrafodaLista"/>
        <w:spacing w:before="59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II - </w:t>
      </w:r>
      <w:proofErr w:type="gramStart"/>
      <w:r w:rsidRPr="00B92A10">
        <w:rPr>
          <w:sz w:val="24"/>
          <w:szCs w:val="24"/>
          <w:lang w:val="pt-BR"/>
        </w:rPr>
        <w:t>acompanhar</w:t>
      </w:r>
      <w:proofErr w:type="gramEnd"/>
      <w:r w:rsidRPr="00B92A10">
        <w:rPr>
          <w:sz w:val="24"/>
          <w:szCs w:val="24"/>
          <w:lang w:val="pt-BR"/>
        </w:rPr>
        <w:t xml:space="preserve"> a implementação das etapas, nos prazos previstos, bem assim identificar e acompanhar as correções necessárias ao cumprimento do disposto no Anexo 10, conforme aprovado pelo Conselho Diretor;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>III - fazer o levantamento do estado de todos os investimentos contratuais pendentes de execução e/ou de finalização, inclusive aqueles decorrentes do atingimento de níveis de serviço e tráfego (volume diário médio das rodovias - VDM), indicando previsão de conclusão e/ou orçamentação, se ainda não iniciados;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IV - </w:t>
      </w:r>
      <w:proofErr w:type="gramStart"/>
      <w:r w:rsidRPr="00B92A10">
        <w:rPr>
          <w:sz w:val="24"/>
          <w:szCs w:val="24"/>
          <w:lang w:val="pt-BR"/>
        </w:rPr>
        <w:t>elaborar</w:t>
      </w:r>
      <w:proofErr w:type="gramEnd"/>
      <w:r w:rsidRPr="00B92A10">
        <w:rPr>
          <w:sz w:val="24"/>
          <w:szCs w:val="24"/>
          <w:lang w:val="pt-BR"/>
        </w:rPr>
        <w:t xml:space="preserve"> minutas dos atos e termos necessários à consecução da transferência do Sistema Rodoviário. </w:t>
      </w:r>
    </w:p>
    <w:p w:rsidR="00FC509D" w:rsidRPr="00B92A10" w:rsidRDefault="00FC509D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V- </w:t>
      </w:r>
      <w:proofErr w:type="gramStart"/>
      <w:r w:rsidRPr="00B92A10">
        <w:rPr>
          <w:sz w:val="24"/>
          <w:szCs w:val="24"/>
          <w:lang w:val="pt-BR"/>
        </w:rPr>
        <w:t>proceder</w:t>
      </w:r>
      <w:proofErr w:type="gramEnd"/>
      <w:r w:rsidRPr="00B92A10">
        <w:rPr>
          <w:sz w:val="24"/>
          <w:szCs w:val="24"/>
          <w:lang w:val="pt-BR"/>
        </w:rPr>
        <w:t xml:space="preserve"> ao acompanhamento d</w:t>
      </w:r>
      <w:r w:rsidR="006E0C55" w:rsidRPr="00B92A10">
        <w:rPr>
          <w:sz w:val="24"/>
          <w:szCs w:val="24"/>
          <w:lang w:val="pt-BR"/>
        </w:rPr>
        <w:t xml:space="preserve">os bens revertidos no período entre a assinatura do Termo de Recebimento Provisório até a assinatura do Termo de Recebimento Definitivo. </w:t>
      </w:r>
    </w:p>
    <w:p w:rsidR="002F4CE4" w:rsidRPr="00B92A10" w:rsidRDefault="002F4CE4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</w:p>
    <w:p w:rsidR="007B723C" w:rsidRPr="00B92A10" w:rsidRDefault="007B723C" w:rsidP="00FC3155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 xml:space="preserve">Parágrafo único </w:t>
      </w:r>
      <w:r w:rsidRPr="00B92A10">
        <w:rPr>
          <w:rFonts w:ascii="Arial" w:hAnsi="Arial" w:cs="Arial"/>
          <w:sz w:val="24"/>
          <w:szCs w:val="24"/>
        </w:rPr>
        <w:t xml:space="preserve">- O Coordenador dos trabalhos da Comissão de Devolução poderá solicitar aos Diretores de área da ARTESP, o auxílio para consecução de medida específica, que pressupõe a especialidade daquela Diretoria. 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4º -</w:t>
      </w:r>
      <w:r w:rsidRPr="00B92A10">
        <w:rPr>
          <w:sz w:val="24"/>
          <w:szCs w:val="24"/>
          <w:lang w:val="pt-BR"/>
        </w:rPr>
        <w:t xml:space="preserve"> A Concessionária </w:t>
      </w:r>
      <w:r w:rsidR="00205C65" w:rsidRPr="00B92A10">
        <w:rPr>
          <w:sz w:val="24"/>
          <w:szCs w:val="24"/>
          <w:lang w:val="pt-BR"/>
        </w:rPr>
        <w:t>CENTROVIAS</w:t>
      </w:r>
      <w:r w:rsidRPr="00B92A10">
        <w:rPr>
          <w:sz w:val="24"/>
          <w:szCs w:val="24"/>
          <w:lang w:val="pt-BR"/>
        </w:rPr>
        <w:t xml:space="preserve"> deverá franquear à Comissão de Devolução o acesso a todos os documentos e informações por ela considerados </w:t>
      </w:r>
      <w:r w:rsidRPr="00B92A10">
        <w:rPr>
          <w:sz w:val="24"/>
          <w:szCs w:val="24"/>
          <w:lang w:val="pt-BR"/>
        </w:rPr>
        <w:lastRenderedPageBreak/>
        <w:t xml:space="preserve">relevantes, para a execução de seus trabalhos, nos termos do artigo 9º, XXI, do Regulamento da Concessão e </w:t>
      </w:r>
      <w:r w:rsidR="00635D02" w:rsidRPr="00B92A10">
        <w:rPr>
          <w:sz w:val="24"/>
          <w:szCs w:val="24"/>
          <w:lang w:val="pt-BR"/>
        </w:rPr>
        <w:t xml:space="preserve">Subcláusula 50.1, VI do </w:t>
      </w:r>
      <w:r w:rsidRPr="00B92A10">
        <w:rPr>
          <w:sz w:val="24"/>
          <w:szCs w:val="24"/>
          <w:lang w:val="pt-BR"/>
        </w:rPr>
        <w:t>Contrato.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b/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 xml:space="preserve">Artigo 5º </w:t>
      </w:r>
      <w:r w:rsidRPr="00B92A10">
        <w:rPr>
          <w:sz w:val="24"/>
          <w:szCs w:val="24"/>
          <w:lang w:val="pt-BR"/>
        </w:rPr>
        <w:t xml:space="preserve">- Os Relatórios de Vistoria serão dirigidos ao Conselho Diretor, por intermédio do Diretor de Investimentos, e deverão conter, sem prejuízo de outros que a Comissão de Devolução entenda relevantes: 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 - </w:t>
      </w:r>
      <w:proofErr w:type="gramStart"/>
      <w:r w:rsidRPr="00B92A10">
        <w:rPr>
          <w:sz w:val="24"/>
          <w:szCs w:val="24"/>
          <w:lang w:val="pt-BR"/>
        </w:rPr>
        <w:t>no</w:t>
      </w:r>
      <w:proofErr w:type="gramEnd"/>
      <w:r w:rsidRPr="00B92A10">
        <w:rPr>
          <w:sz w:val="24"/>
          <w:szCs w:val="24"/>
          <w:lang w:val="pt-BR"/>
        </w:rPr>
        <w:t xml:space="preserve"> Relatório de Vistoria prévia: </w:t>
      </w:r>
    </w:p>
    <w:p w:rsidR="007B723C" w:rsidRPr="00B92A10" w:rsidRDefault="007B723C" w:rsidP="002B31E1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descrição</w:t>
      </w:r>
      <w:proofErr w:type="gramEnd"/>
      <w:r w:rsidRPr="00B92A10">
        <w:rPr>
          <w:sz w:val="24"/>
          <w:szCs w:val="24"/>
          <w:lang w:val="pt-BR"/>
        </w:rPr>
        <w:t xml:space="preserve"> do Sistema Rodoviário, considerando as condições de devolução estabelecida no Anexo 10; </w:t>
      </w:r>
    </w:p>
    <w:p w:rsidR="007B723C" w:rsidRPr="00B92A10" w:rsidRDefault="007B723C" w:rsidP="002B31E1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levantamento</w:t>
      </w:r>
      <w:proofErr w:type="gramEnd"/>
      <w:r w:rsidRPr="00B92A10">
        <w:rPr>
          <w:sz w:val="24"/>
          <w:szCs w:val="24"/>
          <w:lang w:val="pt-BR"/>
        </w:rPr>
        <w:t xml:space="preserve"> do estado de todos os investimentos contratuais pendentes de execução e/ou de finalização, inclusive aqueles decorrentes do atingimento de níveis de serviço e tráfego (volume diário médio das rodovias - VDM), indicando previsão de conclusão e/ou orçamentação, se ainda não iniciados;</w:t>
      </w:r>
    </w:p>
    <w:p w:rsidR="007B723C" w:rsidRPr="00B92A10" w:rsidRDefault="007B723C" w:rsidP="002B31E1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indicação</w:t>
      </w:r>
      <w:proofErr w:type="gramEnd"/>
      <w:r w:rsidRPr="00B92A10">
        <w:rPr>
          <w:sz w:val="24"/>
          <w:szCs w:val="24"/>
          <w:lang w:val="pt-BR"/>
        </w:rPr>
        <w:t xml:space="preserve"> de correções se houver, em cada área, o prazo sugerido pela Concessionária, para sua execução;</w:t>
      </w:r>
    </w:p>
    <w:p w:rsidR="007B723C" w:rsidRPr="00B92A10" w:rsidRDefault="007B723C" w:rsidP="002B31E1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manifestação</w:t>
      </w:r>
      <w:proofErr w:type="gramEnd"/>
      <w:r w:rsidRPr="00B92A10">
        <w:rPr>
          <w:sz w:val="24"/>
          <w:szCs w:val="24"/>
          <w:lang w:val="pt-BR"/>
        </w:rPr>
        <w:t xml:space="preserve"> da Comissão sobre os prazos e etapas proposta pela Concessionária, considerando, especialmente, a viabilidade técnica de cumprimento antes da extinção do contrato o prazo;</w:t>
      </w:r>
    </w:p>
    <w:p w:rsidR="007B723C" w:rsidRPr="00B92A10" w:rsidRDefault="007B723C" w:rsidP="002B31E1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proposta</w:t>
      </w:r>
      <w:proofErr w:type="gramEnd"/>
      <w:r w:rsidRPr="00B92A10">
        <w:rPr>
          <w:sz w:val="24"/>
          <w:szCs w:val="24"/>
          <w:lang w:val="pt-BR"/>
        </w:rPr>
        <w:t xml:space="preserve"> da Comissão de etapas e prazos de execução, de modo a viabilizar o atendimento dos parâmetros definidos no Anexo 10 ao Contrato de Concessão 00</w:t>
      </w:r>
      <w:r w:rsidR="004D7678" w:rsidRPr="00B92A10">
        <w:rPr>
          <w:sz w:val="24"/>
          <w:szCs w:val="24"/>
          <w:lang w:val="pt-BR"/>
        </w:rPr>
        <w:t>8</w:t>
      </w:r>
      <w:r w:rsidRPr="00B92A10">
        <w:rPr>
          <w:sz w:val="24"/>
          <w:szCs w:val="24"/>
          <w:lang w:val="pt-BR"/>
        </w:rPr>
        <w:t>/C</w:t>
      </w:r>
      <w:r w:rsidR="0065588F" w:rsidRPr="00B92A10">
        <w:rPr>
          <w:sz w:val="24"/>
          <w:szCs w:val="24"/>
          <w:lang w:val="pt-BR"/>
        </w:rPr>
        <w:t>R</w:t>
      </w:r>
      <w:r w:rsidRPr="00B92A10">
        <w:rPr>
          <w:sz w:val="24"/>
          <w:szCs w:val="24"/>
          <w:lang w:val="pt-BR"/>
        </w:rPr>
        <w:t xml:space="preserve">/1998, na data da extinção da vigência do ajuste.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 </w:t>
      </w:r>
    </w:p>
    <w:p w:rsidR="007B723C" w:rsidRPr="00B92A10" w:rsidRDefault="007B723C" w:rsidP="00FC3155">
      <w:pPr>
        <w:pStyle w:val="PargrafodaLista"/>
        <w:tabs>
          <w:tab w:val="left" w:pos="0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II - </w:t>
      </w:r>
      <w:proofErr w:type="gramStart"/>
      <w:r w:rsidRPr="00B92A10">
        <w:rPr>
          <w:sz w:val="24"/>
          <w:szCs w:val="24"/>
          <w:lang w:val="pt-BR"/>
        </w:rPr>
        <w:t>nos</w:t>
      </w:r>
      <w:proofErr w:type="gramEnd"/>
      <w:r w:rsidRPr="00B92A10">
        <w:rPr>
          <w:sz w:val="24"/>
          <w:szCs w:val="24"/>
          <w:lang w:val="pt-BR"/>
        </w:rPr>
        <w:t xml:space="preserve"> Relatórios de Vistorias intermediárias: </w:t>
      </w:r>
    </w:p>
    <w:p w:rsidR="007B723C" w:rsidRPr="00B92A10" w:rsidRDefault="007B723C" w:rsidP="002B31E1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60" w:lineRule="exact"/>
        <w:ind w:left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informações</w:t>
      </w:r>
      <w:proofErr w:type="gramEnd"/>
      <w:r w:rsidRPr="00B92A10">
        <w:rPr>
          <w:sz w:val="24"/>
          <w:szCs w:val="24"/>
          <w:lang w:val="pt-BR"/>
        </w:rPr>
        <w:t xml:space="preserve"> sobre a execução das correções referidas no Relatório de Vistoria anterior, bem assim sobre o cumprimento dos prazos estabelecidos pelo Conselho Diretor;</w:t>
      </w:r>
    </w:p>
    <w:p w:rsidR="007B723C" w:rsidRPr="00B92A10" w:rsidRDefault="007B723C" w:rsidP="002B31E1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60" w:lineRule="exact"/>
        <w:ind w:left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outras</w:t>
      </w:r>
      <w:proofErr w:type="gramEnd"/>
      <w:r w:rsidRPr="00B92A10">
        <w:rPr>
          <w:sz w:val="24"/>
          <w:szCs w:val="24"/>
          <w:lang w:val="pt-BR"/>
        </w:rPr>
        <w:t xml:space="preserve"> informações relevantes ao desiderato da Comissão.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>III - no Relatório de Vistoria Final:</w:t>
      </w:r>
    </w:p>
    <w:p w:rsidR="007B723C" w:rsidRPr="00B92A10" w:rsidRDefault="007B723C" w:rsidP="002B31E1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as</w:t>
      </w:r>
      <w:proofErr w:type="gramEnd"/>
      <w:r w:rsidRPr="00B92A10">
        <w:rPr>
          <w:sz w:val="24"/>
          <w:szCs w:val="24"/>
          <w:lang w:val="pt-BR"/>
        </w:rPr>
        <w:t xml:space="preserve"> datas de vistorias e reuniões realizadas, atas;</w:t>
      </w:r>
    </w:p>
    <w:p w:rsidR="007B723C" w:rsidRPr="00B92A10" w:rsidRDefault="007B723C" w:rsidP="002B31E1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lastRenderedPageBreak/>
        <w:t>as</w:t>
      </w:r>
      <w:proofErr w:type="gramEnd"/>
      <w:r w:rsidRPr="00B92A10">
        <w:rPr>
          <w:sz w:val="24"/>
          <w:szCs w:val="24"/>
          <w:lang w:val="pt-BR"/>
        </w:rPr>
        <w:t xml:space="preserve"> não conformidades identificadas e corrigidas ao longo dos trabalhos da Comissão;</w:t>
      </w:r>
    </w:p>
    <w:p w:rsidR="009B2C1A" w:rsidRPr="00B92A10" w:rsidRDefault="009B2C1A" w:rsidP="002B31E1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as</w:t>
      </w:r>
      <w:proofErr w:type="gramEnd"/>
      <w:r w:rsidRPr="00B92A10">
        <w:rPr>
          <w:sz w:val="24"/>
          <w:szCs w:val="24"/>
          <w:lang w:val="pt-BR"/>
        </w:rPr>
        <w:t xml:space="preserve"> não conformidades identificadas e não corrigidas pela Concessionária até aquela data, com a estimativa dos respectivos custos</w:t>
      </w:r>
      <w:r w:rsidR="002B31E1" w:rsidRPr="00B92A10">
        <w:rPr>
          <w:sz w:val="24"/>
          <w:szCs w:val="24"/>
          <w:lang w:val="pt-BR"/>
        </w:rPr>
        <w:t>;</w:t>
      </w:r>
    </w:p>
    <w:p w:rsidR="007B723C" w:rsidRPr="00B92A10" w:rsidRDefault="007B723C" w:rsidP="002B31E1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descrição</w:t>
      </w:r>
      <w:proofErr w:type="gramEnd"/>
      <w:r w:rsidRPr="00B92A10">
        <w:rPr>
          <w:sz w:val="24"/>
          <w:szCs w:val="24"/>
          <w:lang w:val="pt-BR"/>
        </w:rPr>
        <w:t xml:space="preserve"> do Sistema Rodoviário que será entregue, considerando a descrição feita no Relatório de Vistoria pr</w:t>
      </w:r>
      <w:r w:rsidR="00D71E90" w:rsidRPr="00B92A10">
        <w:rPr>
          <w:sz w:val="24"/>
          <w:szCs w:val="24"/>
          <w:lang w:val="pt-BR"/>
        </w:rPr>
        <w:t>e</w:t>
      </w:r>
      <w:r w:rsidRPr="00B92A10">
        <w:rPr>
          <w:sz w:val="24"/>
          <w:szCs w:val="24"/>
          <w:lang w:val="pt-BR"/>
        </w:rPr>
        <w:t xml:space="preserve">via e as condições de devolução estabelecida no Anexo 10; </w:t>
      </w:r>
    </w:p>
    <w:p w:rsidR="007B723C" w:rsidRPr="00B92A10" w:rsidRDefault="007B723C" w:rsidP="002B31E1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outras</w:t>
      </w:r>
      <w:proofErr w:type="gramEnd"/>
      <w:r w:rsidRPr="00B92A10">
        <w:rPr>
          <w:sz w:val="24"/>
          <w:szCs w:val="24"/>
          <w:lang w:val="pt-BR"/>
        </w:rPr>
        <w:t xml:space="preserve"> informações consideradas relevantes pela Comissão.</w:t>
      </w:r>
    </w:p>
    <w:p w:rsidR="002B31E1" w:rsidRPr="00B92A10" w:rsidRDefault="002B31E1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</w:p>
    <w:p w:rsidR="00860C20" w:rsidRPr="00B92A10" w:rsidRDefault="007B723C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IV - </w:t>
      </w:r>
      <w:proofErr w:type="gramStart"/>
      <w:r w:rsidR="00860C20" w:rsidRPr="00B92A10">
        <w:rPr>
          <w:sz w:val="24"/>
          <w:szCs w:val="24"/>
          <w:lang w:val="pt-BR"/>
        </w:rPr>
        <w:t>nos</w:t>
      </w:r>
      <w:proofErr w:type="gramEnd"/>
      <w:r w:rsidR="00860C20" w:rsidRPr="00B92A10">
        <w:rPr>
          <w:sz w:val="24"/>
          <w:szCs w:val="24"/>
          <w:lang w:val="pt-BR"/>
        </w:rPr>
        <w:t xml:space="preserve"> Relatórios de Vistoria </w:t>
      </w:r>
      <w:r w:rsidR="006E0C55" w:rsidRPr="00B92A10">
        <w:rPr>
          <w:sz w:val="24"/>
          <w:szCs w:val="24"/>
          <w:lang w:val="pt-BR"/>
        </w:rPr>
        <w:t>para o Recebimento Definitivo</w:t>
      </w:r>
      <w:r w:rsidR="00860C20" w:rsidRPr="00B92A10">
        <w:rPr>
          <w:sz w:val="24"/>
          <w:szCs w:val="24"/>
          <w:lang w:val="pt-BR"/>
        </w:rPr>
        <w:t>:</w:t>
      </w:r>
    </w:p>
    <w:p w:rsidR="00860C20" w:rsidRPr="00B92A10" w:rsidRDefault="00860C20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>a) acompanhamento mensal de solução de passivos e irregularidades apontados no Relatório Final;</w:t>
      </w:r>
    </w:p>
    <w:p w:rsidR="00860C20" w:rsidRPr="00B92A10" w:rsidRDefault="00860C20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b) acionamento das garantias para fins de registro de expectativa de sinistro, se o </w:t>
      </w:r>
      <w:proofErr w:type="gramStart"/>
      <w:r w:rsidRPr="00B92A10">
        <w:rPr>
          <w:sz w:val="24"/>
          <w:szCs w:val="24"/>
          <w:lang w:val="pt-BR"/>
        </w:rPr>
        <w:t>caso</w:t>
      </w:r>
      <w:proofErr w:type="gramEnd"/>
      <w:r w:rsidRPr="00B92A10">
        <w:rPr>
          <w:sz w:val="24"/>
          <w:szCs w:val="24"/>
          <w:lang w:val="pt-BR"/>
        </w:rPr>
        <w:t>;</w:t>
      </w:r>
    </w:p>
    <w:p w:rsidR="00860C20" w:rsidRPr="00B92A10" w:rsidRDefault="00860C20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>c) atualizaç</w:t>
      </w:r>
      <w:r w:rsidR="005C33E2" w:rsidRPr="00B92A10">
        <w:rPr>
          <w:sz w:val="24"/>
          <w:szCs w:val="24"/>
          <w:lang w:val="pt-BR"/>
        </w:rPr>
        <w:t>ões pertinentes.</w:t>
      </w:r>
    </w:p>
    <w:p w:rsidR="005C33E2" w:rsidRPr="00B92A10" w:rsidRDefault="005C33E2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5C33E2" w:rsidP="00FC3155">
      <w:pPr>
        <w:pStyle w:val="PargrafodaLista"/>
        <w:tabs>
          <w:tab w:val="left" w:pos="0"/>
          <w:tab w:val="left" w:pos="1881"/>
        </w:tabs>
        <w:spacing w:before="123"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V - </w:t>
      </w:r>
      <w:r w:rsidR="007B723C" w:rsidRPr="00B92A10">
        <w:rPr>
          <w:sz w:val="24"/>
          <w:szCs w:val="24"/>
          <w:lang w:val="pt-BR"/>
        </w:rPr>
        <w:t>Sem prejuízo dos elementos referidos nos incisos I, II</w:t>
      </w:r>
      <w:r w:rsidRPr="00B92A10">
        <w:rPr>
          <w:sz w:val="24"/>
          <w:szCs w:val="24"/>
          <w:lang w:val="pt-BR"/>
        </w:rPr>
        <w:t>,</w:t>
      </w:r>
      <w:r w:rsidR="007B723C" w:rsidRPr="00B92A10">
        <w:rPr>
          <w:sz w:val="24"/>
          <w:szCs w:val="24"/>
          <w:lang w:val="pt-BR"/>
        </w:rPr>
        <w:t xml:space="preserve"> III</w:t>
      </w:r>
      <w:r w:rsidRPr="00B92A10">
        <w:rPr>
          <w:sz w:val="24"/>
          <w:szCs w:val="24"/>
          <w:lang w:val="pt-BR"/>
        </w:rPr>
        <w:t xml:space="preserve"> e IV</w:t>
      </w:r>
      <w:r w:rsidR="007B723C" w:rsidRPr="00B92A10">
        <w:rPr>
          <w:sz w:val="24"/>
          <w:szCs w:val="24"/>
          <w:lang w:val="pt-BR"/>
        </w:rPr>
        <w:t xml:space="preserve"> deste artigo, todos os relatórios deverão conter:</w:t>
      </w:r>
    </w:p>
    <w:p w:rsidR="007B723C" w:rsidRPr="00B92A10" w:rsidRDefault="007B723C" w:rsidP="002B31E1">
      <w:pPr>
        <w:pStyle w:val="PargrafodaLista"/>
        <w:numPr>
          <w:ilvl w:val="0"/>
          <w:numId w:val="10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o</w:t>
      </w:r>
      <w:proofErr w:type="gramEnd"/>
      <w:r w:rsidRPr="00B92A10">
        <w:rPr>
          <w:sz w:val="24"/>
          <w:szCs w:val="24"/>
          <w:lang w:val="pt-BR"/>
        </w:rPr>
        <w:t xml:space="preserve"> timbre da ARTESP e data da elaboração;</w:t>
      </w:r>
    </w:p>
    <w:p w:rsidR="007B723C" w:rsidRPr="00B92A10" w:rsidRDefault="007B723C" w:rsidP="002B31E1">
      <w:pPr>
        <w:pStyle w:val="PargrafodaLista"/>
        <w:numPr>
          <w:ilvl w:val="0"/>
          <w:numId w:val="10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nomes</w:t>
      </w:r>
      <w:proofErr w:type="gramEnd"/>
      <w:r w:rsidRPr="00B92A10">
        <w:rPr>
          <w:sz w:val="24"/>
          <w:szCs w:val="24"/>
          <w:lang w:val="pt-BR"/>
        </w:rPr>
        <w:t xml:space="preserve">, entidades representadas, rubrica das folhas e assinatura, ao final, dos membros da Comissão e dos representantes da </w:t>
      </w:r>
      <w:r w:rsidR="006F4B1A" w:rsidRPr="00B92A10">
        <w:rPr>
          <w:sz w:val="24"/>
          <w:szCs w:val="24"/>
          <w:lang w:val="pt-BR"/>
        </w:rPr>
        <w:t>Adjudicatária do novo lote</w:t>
      </w:r>
      <w:r w:rsidRPr="00B92A10">
        <w:rPr>
          <w:sz w:val="24"/>
          <w:szCs w:val="24"/>
          <w:lang w:val="pt-BR"/>
        </w:rPr>
        <w:t>;</w:t>
      </w:r>
    </w:p>
    <w:p w:rsidR="007B723C" w:rsidRPr="00B92A10" w:rsidRDefault="007B723C" w:rsidP="002B31E1">
      <w:pPr>
        <w:pStyle w:val="PargrafodaLista"/>
        <w:numPr>
          <w:ilvl w:val="0"/>
          <w:numId w:val="10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informação</w:t>
      </w:r>
      <w:proofErr w:type="gramEnd"/>
      <w:r w:rsidRPr="00B92A10">
        <w:rPr>
          <w:sz w:val="24"/>
          <w:szCs w:val="24"/>
          <w:lang w:val="pt-BR"/>
        </w:rPr>
        <w:t>, pelo Coordenador dos trabalhos, sobre a ausência ou recusa de assinatura de um ou mais membros da Comissão, bem assim sobre a existência de voto divergente e sua juntada;</w:t>
      </w:r>
    </w:p>
    <w:p w:rsidR="007B723C" w:rsidRPr="00B92A10" w:rsidRDefault="007B723C" w:rsidP="002B31E1">
      <w:pPr>
        <w:pStyle w:val="PargrafodaLista"/>
        <w:numPr>
          <w:ilvl w:val="0"/>
          <w:numId w:val="10"/>
        </w:numPr>
        <w:tabs>
          <w:tab w:val="left" w:pos="0"/>
          <w:tab w:val="left" w:pos="284"/>
        </w:tabs>
        <w:spacing w:before="123" w:line="360" w:lineRule="exact"/>
        <w:ind w:left="0" w:firstLine="0"/>
        <w:rPr>
          <w:sz w:val="24"/>
          <w:szCs w:val="24"/>
          <w:lang w:val="pt-BR"/>
        </w:rPr>
      </w:pPr>
      <w:proofErr w:type="gramStart"/>
      <w:r w:rsidRPr="00B92A10">
        <w:rPr>
          <w:sz w:val="24"/>
          <w:szCs w:val="24"/>
          <w:lang w:val="pt-BR"/>
        </w:rPr>
        <w:t>despacho</w:t>
      </w:r>
      <w:proofErr w:type="gramEnd"/>
      <w:r w:rsidRPr="00B92A10">
        <w:rPr>
          <w:sz w:val="24"/>
          <w:szCs w:val="24"/>
          <w:lang w:val="pt-BR"/>
        </w:rPr>
        <w:t xml:space="preserve"> do Diretor da DIN, com manifestação sobre o conteúdo do relatório e proposta de submissão ao Conselho Diretor.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lastRenderedPageBreak/>
        <w:t>Artigo 6º</w:t>
      </w:r>
      <w:r w:rsidRPr="00B92A10">
        <w:rPr>
          <w:sz w:val="24"/>
          <w:szCs w:val="24"/>
          <w:lang w:val="pt-BR"/>
        </w:rPr>
        <w:t xml:space="preserve"> - As vistorias </w:t>
      </w:r>
      <w:r w:rsidR="00FC509D" w:rsidRPr="00B92A10">
        <w:rPr>
          <w:sz w:val="24"/>
          <w:szCs w:val="24"/>
          <w:lang w:val="pt-BR"/>
        </w:rPr>
        <w:t xml:space="preserve">intermediárias </w:t>
      </w:r>
      <w:r w:rsidRPr="00B92A10">
        <w:rPr>
          <w:sz w:val="24"/>
          <w:szCs w:val="24"/>
          <w:lang w:val="pt-BR"/>
        </w:rPr>
        <w:t>deverão ser realizadas, no mínimo, a cada 3 (três) meses, e o respectivo relatório submetido ao Conselho Diretor, por intermédio do Diretor de Investimentos, em até 15 (quinze) dias após a conclusão da vistoria, ressalvados: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 - o de vistoria prévia, que deverá ser submetido ao Conselho Diretor em até </w:t>
      </w:r>
      <w:r w:rsidR="009967FB" w:rsidRPr="00B92A10">
        <w:rPr>
          <w:sz w:val="24"/>
          <w:szCs w:val="24"/>
          <w:lang w:val="pt-BR"/>
        </w:rPr>
        <w:t>60</w:t>
      </w:r>
      <w:r w:rsidRPr="00B92A10">
        <w:rPr>
          <w:sz w:val="24"/>
          <w:szCs w:val="24"/>
          <w:lang w:val="pt-BR"/>
        </w:rPr>
        <w:t xml:space="preserve"> (</w:t>
      </w:r>
      <w:r w:rsidR="00952434" w:rsidRPr="00B92A10">
        <w:rPr>
          <w:sz w:val="24"/>
          <w:szCs w:val="24"/>
          <w:lang w:val="pt-BR"/>
        </w:rPr>
        <w:t>sessenta</w:t>
      </w:r>
      <w:r w:rsidRPr="00B92A10">
        <w:rPr>
          <w:sz w:val="24"/>
          <w:szCs w:val="24"/>
          <w:lang w:val="pt-BR"/>
        </w:rPr>
        <w:t xml:space="preserve">) dias da </w:t>
      </w:r>
      <w:r w:rsidR="009967FB" w:rsidRPr="00B92A10">
        <w:rPr>
          <w:sz w:val="24"/>
          <w:szCs w:val="24"/>
          <w:lang w:val="pt-BR"/>
        </w:rPr>
        <w:t xml:space="preserve">publicação da presente </w:t>
      </w:r>
      <w:proofErr w:type="gramStart"/>
      <w:r w:rsidR="009967FB" w:rsidRPr="00B92A10">
        <w:rPr>
          <w:sz w:val="24"/>
          <w:szCs w:val="24"/>
          <w:lang w:val="pt-BR"/>
        </w:rPr>
        <w:t>portaria ;</w:t>
      </w:r>
      <w:proofErr w:type="gramEnd"/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II - </w:t>
      </w:r>
      <w:proofErr w:type="gramStart"/>
      <w:r w:rsidRPr="00B92A10">
        <w:rPr>
          <w:sz w:val="24"/>
          <w:szCs w:val="24"/>
          <w:lang w:val="pt-BR"/>
        </w:rPr>
        <w:t>o</w:t>
      </w:r>
      <w:proofErr w:type="gramEnd"/>
      <w:r w:rsidRPr="00B92A10">
        <w:rPr>
          <w:sz w:val="24"/>
          <w:szCs w:val="24"/>
          <w:lang w:val="pt-BR"/>
        </w:rPr>
        <w:t xml:space="preserve"> de vistoria final, que deverá ser submetido ao Conselho Diretor em até 15 (quinze) dias de antecedência da data de extinção do Contrato de Concessão 00</w:t>
      </w:r>
      <w:r w:rsidR="00B814EB" w:rsidRPr="00B92A10">
        <w:rPr>
          <w:sz w:val="24"/>
          <w:szCs w:val="24"/>
          <w:lang w:val="pt-BR"/>
        </w:rPr>
        <w:t>8</w:t>
      </w:r>
      <w:r w:rsidRPr="00B92A10">
        <w:rPr>
          <w:sz w:val="24"/>
          <w:szCs w:val="24"/>
          <w:lang w:val="pt-BR"/>
        </w:rPr>
        <w:t xml:space="preserve">/CR/1998.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7º</w:t>
      </w:r>
      <w:r w:rsidRPr="00B92A10">
        <w:rPr>
          <w:sz w:val="24"/>
          <w:szCs w:val="24"/>
          <w:lang w:val="pt-BR"/>
        </w:rPr>
        <w:t xml:space="preserve"> - Caberá ao coordenador dos trabalhos da Comissão a elaboração dos relatórios de vistoria, devendo o membro que dele divergir manifestar seu inconformismo, pontualmente, por escrito e fundamentadamente, em voto separado do qual deverá ser, obrigatoriamente, dado conhecimento aos demais integrantes, e juntado ao relatório de vistoria. 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§1º -</w:t>
      </w:r>
      <w:r w:rsidRPr="00B92A10">
        <w:rPr>
          <w:sz w:val="24"/>
          <w:szCs w:val="24"/>
          <w:lang w:val="pt-BR"/>
        </w:rPr>
        <w:t xml:space="preserve"> A ausência de assinatura de um ou mais membro da Comissão não invalida o Relatório, devendo ser observadas as disposições do artigo </w:t>
      </w:r>
      <w:r w:rsidR="004229AF" w:rsidRPr="00B92A10">
        <w:rPr>
          <w:sz w:val="24"/>
          <w:szCs w:val="24"/>
          <w:lang w:val="pt-BR"/>
        </w:rPr>
        <w:t>5</w:t>
      </w:r>
      <w:r w:rsidRPr="00B92A10">
        <w:rPr>
          <w:sz w:val="24"/>
          <w:szCs w:val="24"/>
          <w:lang w:val="pt-BR"/>
        </w:rPr>
        <w:t xml:space="preserve">º, inciso IV, alínea ‘c’ desta portaria.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vanish/>
          <w:sz w:val="24"/>
          <w:szCs w:val="24"/>
          <w:lang w:val="pt-BR"/>
          <w:specVanish/>
        </w:rPr>
      </w:pPr>
      <w:r w:rsidRPr="00B92A10">
        <w:rPr>
          <w:b/>
          <w:sz w:val="24"/>
          <w:szCs w:val="24"/>
          <w:lang w:val="pt-BR"/>
        </w:rPr>
        <w:t>§2º -</w:t>
      </w:r>
      <w:r w:rsidRPr="00B92A10">
        <w:rPr>
          <w:sz w:val="24"/>
          <w:szCs w:val="24"/>
          <w:lang w:val="pt-BR"/>
        </w:rPr>
        <w:t xml:space="preserve"> Embora a função dos representantes </w:t>
      </w:r>
      <w:proofErr w:type="gramStart"/>
      <w:r w:rsidRPr="00B92A10">
        <w:rPr>
          <w:sz w:val="24"/>
          <w:szCs w:val="24"/>
          <w:lang w:val="pt-BR"/>
        </w:rPr>
        <w:t>da</w:t>
      </w:r>
      <w:r w:rsidR="00D11585" w:rsidRPr="00B92A10">
        <w:rPr>
          <w:sz w:val="24"/>
          <w:szCs w:val="24"/>
          <w:lang w:val="pt-BR"/>
        </w:rPr>
        <w:t>(</w:t>
      </w:r>
      <w:proofErr w:type="gramEnd"/>
      <w:r w:rsidR="00D11585" w:rsidRPr="00B92A10">
        <w:rPr>
          <w:sz w:val="24"/>
          <w:szCs w:val="24"/>
          <w:lang w:val="pt-BR"/>
        </w:rPr>
        <w:t>s) eventual(is)</w:t>
      </w:r>
      <w:r w:rsidRPr="00B92A10">
        <w:rPr>
          <w:sz w:val="24"/>
          <w:szCs w:val="24"/>
          <w:lang w:val="pt-BR"/>
        </w:rPr>
        <w:t xml:space="preserve"> </w:t>
      </w:r>
      <w:r w:rsidR="00E706DB" w:rsidRPr="00B92A10">
        <w:rPr>
          <w:sz w:val="24"/>
          <w:szCs w:val="24"/>
          <w:lang w:val="pt-BR"/>
        </w:rPr>
        <w:t>Adjudicatária</w:t>
      </w:r>
      <w:r w:rsidR="00D11585" w:rsidRPr="00B92A10">
        <w:rPr>
          <w:sz w:val="24"/>
          <w:szCs w:val="24"/>
          <w:lang w:val="pt-BR"/>
        </w:rPr>
        <w:t>(s)</w:t>
      </w:r>
      <w:r w:rsidR="00E706DB" w:rsidRPr="00B92A10">
        <w:rPr>
          <w:sz w:val="24"/>
          <w:szCs w:val="24"/>
          <w:lang w:val="pt-BR"/>
        </w:rPr>
        <w:t xml:space="preserve"> do</w:t>
      </w:r>
      <w:r w:rsidR="00D11585" w:rsidRPr="00B92A10">
        <w:rPr>
          <w:sz w:val="24"/>
          <w:szCs w:val="24"/>
          <w:lang w:val="pt-BR"/>
        </w:rPr>
        <w:t>(s)</w:t>
      </w:r>
      <w:r w:rsidR="00E706DB" w:rsidRPr="00B92A10">
        <w:rPr>
          <w:sz w:val="24"/>
          <w:szCs w:val="24"/>
          <w:lang w:val="pt-BR"/>
        </w:rPr>
        <w:t xml:space="preserve"> novo</w:t>
      </w:r>
      <w:r w:rsidR="00D11585" w:rsidRPr="00B92A10">
        <w:rPr>
          <w:sz w:val="24"/>
          <w:szCs w:val="24"/>
          <w:lang w:val="pt-BR"/>
        </w:rPr>
        <w:t>(s)</w:t>
      </w:r>
      <w:r w:rsidR="00E706DB" w:rsidRPr="00B92A10">
        <w:rPr>
          <w:sz w:val="24"/>
          <w:szCs w:val="24"/>
          <w:lang w:val="pt-BR"/>
        </w:rPr>
        <w:t xml:space="preserve"> lote</w:t>
      </w:r>
      <w:r w:rsidR="00D11585" w:rsidRPr="00B92A10">
        <w:rPr>
          <w:sz w:val="24"/>
          <w:szCs w:val="24"/>
          <w:lang w:val="pt-BR"/>
        </w:rPr>
        <w:t>(s)</w:t>
      </w:r>
      <w:r w:rsidRPr="00B92A10">
        <w:rPr>
          <w:sz w:val="24"/>
          <w:szCs w:val="24"/>
          <w:lang w:val="pt-BR"/>
        </w:rPr>
        <w:t xml:space="preserve"> seja de mero acompanhamento, cabe-lhes manifestar-se, nas condições estabelecidas no</w:t>
      </w:r>
      <w:r w:rsidRPr="00B92A10">
        <w:rPr>
          <w:i/>
          <w:sz w:val="24"/>
          <w:szCs w:val="24"/>
          <w:lang w:val="pt-BR"/>
        </w:rPr>
        <w:t xml:space="preserve"> caput</w:t>
      </w:r>
      <w:r w:rsidRPr="00B92A10">
        <w:rPr>
          <w:sz w:val="24"/>
          <w:szCs w:val="24"/>
          <w:lang w:val="pt-BR"/>
        </w:rPr>
        <w:t xml:space="preserve"> deste artigo e nos termos de seu Contrato de Concessão, especialmente</w:t>
      </w:r>
      <w:r w:rsidR="00E706DB" w:rsidRPr="00B92A10">
        <w:rPr>
          <w:sz w:val="24"/>
          <w:szCs w:val="24"/>
          <w:lang w:val="pt-BR"/>
        </w:rPr>
        <w:t xml:space="preserve"> no anexo que disporá acerca da transição do </w:t>
      </w:r>
      <w:r w:rsidR="00624FCF" w:rsidRPr="00B92A10">
        <w:rPr>
          <w:sz w:val="24"/>
          <w:szCs w:val="24"/>
          <w:lang w:val="pt-BR"/>
        </w:rPr>
        <w:t>Sistema</w:t>
      </w:r>
      <w:r w:rsidRPr="00B92A10">
        <w:rPr>
          <w:sz w:val="24"/>
          <w:szCs w:val="24"/>
          <w:lang w:val="pt-BR"/>
        </w:rPr>
        <w:t xml:space="preserve">, caso divirjam do entendimento adotado pela Comissão ou do voto divergente, se houver. 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sz w:val="24"/>
          <w:szCs w:val="24"/>
          <w:lang w:val="pt-BR"/>
        </w:rPr>
        <w:t xml:space="preserve">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§3º -</w:t>
      </w:r>
      <w:r w:rsidRPr="00B92A10">
        <w:rPr>
          <w:sz w:val="24"/>
          <w:szCs w:val="24"/>
          <w:lang w:val="pt-BR"/>
        </w:rPr>
        <w:t xml:space="preserve"> A ausência injustificada de assinatura no Relatório de Vistoria, por algum membro da Comissão ou pelos representantes </w:t>
      </w:r>
      <w:proofErr w:type="gramStart"/>
      <w:r w:rsidRPr="00B92A10">
        <w:rPr>
          <w:sz w:val="24"/>
          <w:szCs w:val="24"/>
          <w:lang w:val="pt-BR"/>
        </w:rPr>
        <w:t>da</w:t>
      </w:r>
      <w:r w:rsidR="00F653A8" w:rsidRPr="00B92A10">
        <w:rPr>
          <w:sz w:val="24"/>
          <w:szCs w:val="24"/>
          <w:lang w:val="pt-BR"/>
        </w:rPr>
        <w:t>(</w:t>
      </w:r>
      <w:proofErr w:type="gramEnd"/>
      <w:r w:rsidR="00F653A8" w:rsidRPr="00B92A10">
        <w:rPr>
          <w:sz w:val="24"/>
          <w:szCs w:val="24"/>
          <w:lang w:val="pt-BR"/>
        </w:rPr>
        <w:t>s) eventual(is)</w:t>
      </w:r>
      <w:r w:rsidRPr="00B92A10">
        <w:rPr>
          <w:sz w:val="24"/>
          <w:szCs w:val="24"/>
          <w:lang w:val="pt-BR"/>
        </w:rPr>
        <w:t xml:space="preserve"> </w:t>
      </w:r>
      <w:r w:rsidR="00E706DB" w:rsidRPr="00B92A10">
        <w:rPr>
          <w:sz w:val="24"/>
          <w:szCs w:val="24"/>
          <w:lang w:val="pt-BR"/>
        </w:rPr>
        <w:t>Adjudicatária</w:t>
      </w:r>
      <w:r w:rsidR="00F653A8" w:rsidRPr="00B92A10">
        <w:rPr>
          <w:sz w:val="24"/>
          <w:szCs w:val="24"/>
          <w:lang w:val="pt-BR"/>
        </w:rPr>
        <w:t>(s)</w:t>
      </w:r>
      <w:r w:rsidR="00E706DB" w:rsidRPr="00B92A10">
        <w:rPr>
          <w:sz w:val="24"/>
          <w:szCs w:val="24"/>
          <w:lang w:val="pt-BR"/>
        </w:rPr>
        <w:t xml:space="preserve"> do</w:t>
      </w:r>
      <w:r w:rsidR="00F653A8" w:rsidRPr="00B92A10">
        <w:rPr>
          <w:sz w:val="24"/>
          <w:szCs w:val="24"/>
          <w:lang w:val="pt-BR"/>
        </w:rPr>
        <w:t>(s)</w:t>
      </w:r>
      <w:r w:rsidR="00E706DB" w:rsidRPr="00B92A10">
        <w:rPr>
          <w:sz w:val="24"/>
          <w:szCs w:val="24"/>
          <w:lang w:val="pt-BR"/>
        </w:rPr>
        <w:t xml:space="preserve"> novo</w:t>
      </w:r>
      <w:r w:rsidR="00F653A8" w:rsidRPr="00B92A10">
        <w:rPr>
          <w:sz w:val="24"/>
          <w:szCs w:val="24"/>
          <w:lang w:val="pt-BR"/>
        </w:rPr>
        <w:t>(s)</w:t>
      </w:r>
      <w:r w:rsidR="00E706DB" w:rsidRPr="00B92A10">
        <w:rPr>
          <w:sz w:val="24"/>
          <w:szCs w:val="24"/>
          <w:lang w:val="pt-BR"/>
        </w:rPr>
        <w:t xml:space="preserve"> lote</w:t>
      </w:r>
      <w:r w:rsidR="00F653A8" w:rsidRPr="00B92A10">
        <w:rPr>
          <w:sz w:val="24"/>
          <w:szCs w:val="24"/>
          <w:lang w:val="pt-BR"/>
        </w:rPr>
        <w:t>(s)</w:t>
      </w:r>
      <w:r w:rsidRPr="00B92A10">
        <w:rPr>
          <w:sz w:val="24"/>
          <w:szCs w:val="24"/>
          <w:lang w:val="pt-BR"/>
        </w:rPr>
        <w:t xml:space="preserve"> pressupõe sua concordância tácita com seus termos, salvo expressa divergência, manifestada nos termos previstos no </w:t>
      </w:r>
      <w:r w:rsidRPr="00B92A10">
        <w:rPr>
          <w:i/>
          <w:sz w:val="24"/>
          <w:szCs w:val="24"/>
          <w:lang w:val="pt-BR"/>
        </w:rPr>
        <w:t xml:space="preserve">caput </w:t>
      </w:r>
      <w:r w:rsidRPr="00B92A10">
        <w:rPr>
          <w:sz w:val="24"/>
          <w:szCs w:val="24"/>
          <w:lang w:val="pt-BR"/>
        </w:rPr>
        <w:t xml:space="preserve">deste artigo.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lastRenderedPageBreak/>
        <w:t>Artigo 8º</w:t>
      </w:r>
      <w:r w:rsidRPr="00B92A10">
        <w:rPr>
          <w:sz w:val="24"/>
          <w:szCs w:val="24"/>
          <w:lang w:val="pt-BR"/>
        </w:rPr>
        <w:t xml:space="preserve"> - A deliberação do Conselho Diretor da ARTESP sobre os Relatórios de Vistoria e votos divergentes, se houver, tem caráter decisório, cabendo à Comissão de Devolução adotar, imediatamente após sua intimação, as medidas determinadas, visando o prosseguimento da verificação até a assinatura do Termo de Recebimento Definitivo. </w:t>
      </w:r>
    </w:p>
    <w:p w:rsidR="007B723C" w:rsidRPr="00B92A10" w:rsidRDefault="007B723C" w:rsidP="00FC3155">
      <w:pPr>
        <w:pStyle w:val="PargrafodaLista"/>
        <w:tabs>
          <w:tab w:val="left" w:pos="0"/>
          <w:tab w:val="left" w:pos="1881"/>
        </w:tabs>
        <w:spacing w:line="360" w:lineRule="exact"/>
        <w:ind w:left="0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spacing w:before="1"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9º</w:t>
      </w:r>
      <w:r w:rsidRPr="00B92A10">
        <w:rPr>
          <w:sz w:val="24"/>
          <w:szCs w:val="24"/>
          <w:lang w:val="pt-BR"/>
        </w:rPr>
        <w:t xml:space="preserve"> - As responsabilidades, civil e técnica, da CONCESSIONÁRIA somente se encerrarão dentro dos prazos legais vigentes nas leis existentes na época.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10 -</w:t>
      </w:r>
      <w:r w:rsidRPr="00B92A10">
        <w:rPr>
          <w:sz w:val="24"/>
          <w:szCs w:val="24"/>
          <w:lang w:val="pt-BR"/>
        </w:rPr>
        <w:t xml:space="preserve"> Qualquer conflito ou divergência será dirimido pelo Conselho Diretor da ARTESP.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 xml:space="preserve">Artigo 11 - </w:t>
      </w:r>
      <w:r w:rsidRPr="00B92A10">
        <w:rPr>
          <w:sz w:val="24"/>
          <w:szCs w:val="24"/>
          <w:lang w:val="pt-BR"/>
        </w:rPr>
        <w:t>Os trabalhos da Comissão de Devolução, de que trata esta Portaria, estarão concluídos com a assinatura do Termo de Recebimento Definitivo do Sistema Rodoviário objeto do contrato de concessão 00</w:t>
      </w:r>
      <w:r w:rsidR="0031725D" w:rsidRPr="00B92A10">
        <w:rPr>
          <w:sz w:val="24"/>
          <w:szCs w:val="24"/>
          <w:lang w:val="pt-BR"/>
        </w:rPr>
        <w:t>8</w:t>
      </w:r>
      <w:r w:rsidRPr="00B92A10">
        <w:rPr>
          <w:sz w:val="24"/>
          <w:szCs w:val="24"/>
          <w:lang w:val="pt-BR"/>
        </w:rPr>
        <w:t xml:space="preserve">/CR/1998. </w:t>
      </w: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b/>
          <w:sz w:val="24"/>
          <w:szCs w:val="24"/>
          <w:lang w:val="pt-BR"/>
        </w:rPr>
      </w:pPr>
    </w:p>
    <w:p w:rsidR="007B723C" w:rsidRPr="00B92A10" w:rsidRDefault="007B723C" w:rsidP="00FC3155">
      <w:pPr>
        <w:pStyle w:val="Corpodetexto"/>
        <w:tabs>
          <w:tab w:val="left" w:pos="0"/>
        </w:tabs>
        <w:spacing w:line="360" w:lineRule="exact"/>
        <w:jc w:val="both"/>
        <w:rPr>
          <w:sz w:val="24"/>
          <w:szCs w:val="24"/>
          <w:lang w:val="pt-BR"/>
        </w:rPr>
      </w:pPr>
      <w:r w:rsidRPr="00B92A10">
        <w:rPr>
          <w:b/>
          <w:sz w:val="24"/>
          <w:szCs w:val="24"/>
          <w:lang w:val="pt-BR"/>
        </w:rPr>
        <w:t>Artigo 12 -</w:t>
      </w:r>
      <w:r w:rsidRPr="00B92A10">
        <w:rPr>
          <w:sz w:val="24"/>
          <w:szCs w:val="24"/>
          <w:lang w:val="pt-BR"/>
        </w:rPr>
        <w:t xml:space="preserve"> Esta Portaria entra em vigor na data da sua publicação.</w:t>
      </w:r>
    </w:p>
    <w:p w:rsidR="0085540C" w:rsidRPr="00B92A10" w:rsidRDefault="0085540C" w:rsidP="00FC315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276A" w:rsidRPr="00B92A10" w:rsidRDefault="0011276A" w:rsidP="00FC3155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D5C8F" w:rsidRPr="00B92A10" w:rsidRDefault="009D5C8F" w:rsidP="00FC31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362E" w:rsidRPr="00B92A10" w:rsidRDefault="00752A7D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A10">
        <w:rPr>
          <w:rFonts w:ascii="Arial" w:hAnsi="Arial" w:cs="Arial"/>
          <w:b/>
          <w:sz w:val="24"/>
          <w:szCs w:val="24"/>
        </w:rPr>
        <w:t>GIOVANNI PENGUE FILHO</w:t>
      </w:r>
      <w:r w:rsidRPr="00B92A10">
        <w:rPr>
          <w:rFonts w:ascii="Arial" w:hAnsi="Arial" w:cs="Arial"/>
          <w:b/>
          <w:i/>
          <w:sz w:val="24"/>
          <w:szCs w:val="24"/>
        </w:rPr>
        <w:br/>
      </w:r>
      <w:r w:rsidR="00274A73" w:rsidRPr="00B92A10">
        <w:rPr>
          <w:rFonts w:ascii="Arial" w:hAnsi="Arial" w:cs="Arial"/>
          <w:sz w:val="24"/>
          <w:szCs w:val="24"/>
        </w:rPr>
        <w:t>Diretor</w:t>
      </w:r>
      <w:r w:rsidRPr="00B92A10">
        <w:rPr>
          <w:rFonts w:ascii="Arial" w:hAnsi="Arial" w:cs="Arial"/>
          <w:sz w:val="24"/>
          <w:szCs w:val="24"/>
        </w:rPr>
        <w:t xml:space="preserve"> Geral</w:t>
      </w: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0D0833" w:rsidRPr="00B92A10" w:rsidRDefault="000D0833" w:rsidP="000D0833">
      <w:pPr>
        <w:spacing w:after="0"/>
        <w:rPr>
          <w:rFonts w:cs="Arial"/>
          <w:b/>
          <w:iCs/>
          <w:color w:val="000000"/>
          <w:sz w:val="18"/>
          <w:szCs w:val="24"/>
        </w:rPr>
      </w:pPr>
      <w:r w:rsidRPr="00B92A10">
        <w:rPr>
          <w:sz w:val="18"/>
          <w:szCs w:val="24"/>
          <w:lang w:val="en-US"/>
        </w:rPr>
        <w:t>(</w:t>
      </w:r>
      <w:proofErr w:type="spellStart"/>
      <w:r w:rsidRPr="00B92A10">
        <w:rPr>
          <w:sz w:val="18"/>
          <w:szCs w:val="24"/>
          <w:lang w:val="en-US"/>
        </w:rPr>
        <w:t>Protocolo</w:t>
      </w:r>
      <w:proofErr w:type="spellEnd"/>
      <w:r w:rsidRPr="00B92A10">
        <w:rPr>
          <w:sz w:val="18"/>
          <w:szCs w:val="24"/>
          <w:lang w:val="en-US"/>
        </w:rPr>
        <w:t xml:space="preserve"> nº </w:t>
      </w:r>
      <w:r w:rsidRPr="00B92A10">
        <w:rPr>
          <w:sz w:val="18"/>
          <w:szCs w:val="24"/>
          <w:lang w:val="en-US"/>
        </w:rPr>
        <w:t>394.752/18</w:t>
      </w:r>
      <w:r w:rsidRPr="00B92A10">
        <w:rPr>
          <w:sz w:val="18"/>
          <w:szCs w:val="24"/>
          <w:lang w:val="en-US"/>
        </w:rPr>
        <w:t>)</w:t>
      </w:r>
    </w:p>
    <w:p w:rsidR="000D0833" w:rsidRPr="00B92A10" w:rsidRDefault="000D0833" w:rsidP="00FC31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D0833" w:rsidRPr="00B92A10" w:rsidSect="003F587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274" w:bottom="1134" w:left="1588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E1" w:rsidRDefault="006F4DE1" w:rsidP="00435FD3">
      <w:pPr>
        <w:spacing w:after="0" w:line="240" w:lineRule="auto"/>
      </w:pPr>
      <w:r>
        <w:separator/>
      </w:r>
    </w:p>
  </w:endnote>
  <w:endnote w:type="continuationSeparator" w:id="0">
    <w:p w:rsidR="006F4DE1" w:rsidRDefault="006F4DE1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3D" w:rsidRDefault="006F4DE1" w:rsidP="00FC315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92A10">
      <w:rPr>
        <w:noProof/>
      </w:rPr>
      <w:t>2</w:t>
    </w:r>
    <w:r>
      <w:rPr>
        <w:noProof/>
      </w:rPr>
      <w:fldChar w:fldCharType="end"/>
    </w:r>
  </w:p>
  <w:p w:rsidR="0000253D" w:rsidRDefault="0000253D" w:rsidP="00FC3155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3D" w:rsidRDefault="006F4DE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92A10">
      <w:rPr>
        <w:noProof/>
      </w:rPr>
      <w:t>1</w:t>
    </w:r>
    <w:r>
      <w:rPr>
        <w:noProof/>
      </w:rPr>
      <w:fldChar w:fldCharType="end"/>
    </w:r>
  </w:p>
  <w:p w:rsidR="0000253D" w:rsidRDefault="000025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E1" w:rsidRDefault="006F4DE1" w:rsidP="00435FD3">
      <w:pPr>
        <w:spacing w:after="0" w:line="240" w:lineRule="auto"/>
      </w:pPr>
      <w:r>
        <w:separator/>
      </w:r>
    </w:p>
  </w:footnote>
  <w:footnote w:type="continuationSeparator" w:id="0">
    <w:p w:rsidR="006F4DE1" w:rsidRDefault="006F4DE1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3D" w:rsidRDefault="000025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3D" w:rsidRDefault="0000253D" w:rsidP="00877C0B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548765" cy="178117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3D" w:rsidRDefault="0000253D" w:rsidP="00877C0B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1548765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461"/>
    <w:multiLevelType w:val="hybridMultilevel"/>
    <w:tmpl w:val="688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116"/>
    <w:multiLevelType w:val="hybridMultilevel"/>
    <w:tmpl w:val="A40ABE6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310967"/>
    <w:multiLevelType w:val="hybridMultilevel"/>
    <w:tmpl w:val="DD4430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02AED"/>
    <w:multiLevelType w:val="hybridMultilevel"/>
    <w:tmpl w:val="F4B20A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23E17"/>
    <w:multiLevelType w:val="hybridMultilevel"/>
    <w:tmpl w:val="D8AA70E0"/>
    <w:lvl w:ilvl="0" w:tplc="98380AA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D338A"/>
    <w:multiLevelType w:val="hybridMultilevel"/>
    <w:tmpl w:val="FC029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11BD"/>
    <w:multiLevelType w:val="hybridMultilevel"/>
    <w:tmpl w:val="FA7E39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C7168"/>
    <w:multiLevelType w:val="hybridMultilevel"/>
    <w:tmpl w:val="10E21EF0"/>
    <w:lvl w:ilvl="0" w:tplc="3DD8008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22AB7"/>
    <w:multiLevelType w:val="hybridMultilevel"/>
    <w:tmpl w:val="F0F0B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8"/>
    <w:rsid w:val="0000253D"/>
    <w:rsid w:val="0002250C"/>
    <w:rsid w:val="000231EE"/>
    <w:rsid w:val="00023A03"/>
    <w:rsid w:val="00035B23"/>
    <w:rsid w:val="00042F8D"/>
    <w:rsid w:val="0005109C"/>
    <w:rsid w:val="00053DC3"/>
    <w:rsid w:val="00056D6C"/>
    <w:rsid w:val="00060F53"/>
    <w:rsid w:val="00064371"/>
    <w:rsid w:val="00067A6E"/>
    <w:rsid w:val="00071D77"/>
    <w:rsid w:val="00085C98"/>
    <w:rsid w:val="000863C7"/>
    <w:rsid w:val="000979F1"/>
    <w:rsid w:val="000A2040"/>
    <w:rsid w:val="000A211F"/>
    <w:rsid w:val="000A58F5"/>
    <w:rsid w:val="000A5F2B"/>
    <w:rsid w:val="000B2BAD"/>
    <w:rsid w:val="000B5D2C"/>
    <w:rsid w:val="000C0671"/>
    <w:rsid w:val="000C1523"/>
    <w:rsid w:val="000C16E1"/>
    <w:rsid w:val="000C30BA"/>
    <w:rsid w:val="000D0833"/>
    <w:rsid w:val="000D1154"/>
    <w:rsid w:val="000D3F29"/>
    <w:rsid w:val="000E76D3"/>
    <w:rsid w:val="000F3FD7"/>
    <w:rsid w:val="000F7E85"/>
    <w:rsid w:val="00103208"/>
    <w:rsid w:val="00103A11"/>
    <w:rsid w:val="00105D79"/>
    <w:rsid w:val="0011276A"/>
    <w:rsid w:val="00120F72"/>
    <w:rsid w:val="00124AA6"/>
    <w:rsid w:val="00126C2F"/>
    <w:rsid w:val="00126F8C"/>
    <w:rsid w:val="00142A90"/>
    <w:rsid w:val="0014347A"/>
    <w:rsid w:val="00145432"/>
    <w:rsid w:val="001464FB"/>
    <w:rsid w:val="00153D16"/>
    <w:rsid w:val="00161365"/>
    <w:rsid w:val="00161387"/>
    <w:rsid w:val="00165D02"/>
    <w:rsid w:val="00165E63"/>
    <w:rsid w:val="00170F1D"/>
    <w:rsid w:val="00172C18"/>
    <w:rsid w:val="00174740"/>
    <w:rsid w:val="00174CE8"/>
    <w:rsid w:val="00181616"/>
    <w:rsid w:val="001826F4"/>
    <w:rsid w:val="001933E8"/>
    <w:rsid w:val="001B1445"/>
    <w:rsid w:val="001C263A"/>
    <w:rsid w:val="001D3AB9"/>
    <w:rsid w:val="001D5B1F"/>
    <w:rsid w:val="001E7BA7"/>
    <w:rsid w:val="002002B7"/>
    <w:rsid w:val="0020210B"/>
    <w:rsid w:val="00205C65"/>
    <w:rsid w:val="0020683F"/>
    <w:rsid w:val="002155BC"/>
    <w:rsid w:val="00230D12"/>
    <w:rsid w:val="002419BF"/>
    <w:rsid w:val="00264D6C"/>
    <w:rsid w:val="00274A73"/>
    <w:rsid w:val="0027502A"/>
    <w:rsid w:val="002763E0"/>
    <w:rsid w:val="00280442"/>
    <w:rsid w:val="00281D95"/>
    <w:rsid w:val="00283A05"/>
    <w:rsid w:val="002942E0"/>
    <w:rsid w:val="0029452E"/>
    <w:rsid w:val="002A04EA"/>
    <w:rsid w:val="002A4985"/>
    <w:rsid w:val="002A6C62"/>
    <w:rsid w:val="002B31E1"/>
    <w:rsid w:val="002B50E3"/>
    <w:rsid w:val="002B5F54"/>
    <w:rsid w:val="002C1483"/>
    <w:rsid w:val="002C15E4"/>
    <w:rsid w:val="002D7BEC"/>
    <w:rsid w:val="002F4CE4"/>
    <w:rsid w:val="003045BB"/>
    <w:rsid w:val="00306865"/>
    <w:rsid w:val="00310EE0"/>
    <w:rsid w:val="00315F69"/>
    <w:rsid w:val="003171AB"/>
    <w:rsid w:val="0031725D"/>
    <w:rsid w:val="003173D2"/>
    <w:rsid w:val="0032651D"/>
    <w:rsid w:val="003379B4"/>
    <w:rsid w:val="0034031C"/>
    <w:rsid w:val="0035532D"/>
    <w:rsid w:val="003616A2"/>
    <w:rsid w:val="00364D7D"/>
    <w:rsid w:val="00372CDC"/>
    <w:rsid w:val="00380681"/>
    <w:rsid w:val="00387AC4"/>
    <w:rsid w:val="0039253E"/>
    <w:rsid w:val="00392C5B"/>
    <w:rsid w:val="00392D2C"/>
    <w:rsid w:val="003A5516"/>
    <w:rsid w:val="003B7B22"/>
    <w:rsid w:val="003C0F83"/>
    <w:rsid w:val="003C5DAC"/>
    <w:rsid w:val="003D1CB7"/>
    <w:rsid w:val="003D33D8"/>
    <w:rsid w:val="003E12E4"/>
    <w:rsid w:val="003E7924"/>
    <w:rsid w:val="003F5875"/>
    <w:rsid w:val="00403128"/>
    <w:rsid w:val="004229AF"/>
    <w:rsid w:val="00425552"/>
    <w:rsid w:val="00426AC0"/>
    <w:rsid w:val="00430217"/>
    <w:rsid w:val="00430E52"/>
    <w:rsid w:val="004312BB"/>
    <w:rsid w:val="00435FD3"/>
    <w:rsid w:val="00437C52"/>
    <w:rsid w:val="004401EA"/>
    <w:rsid w:val="0044784C"/>
    <w:rsid w:val="00455A5B"/>
    <w:rsid w:val="00467B9B"/>
    <w:rsid w:val="0048395F"/>
    <w:rsid w:val="004844AF"/>
    <w:rsid w:val="00485913"/>
    <w:rsid w:val="004A5F98"/>
    <w:rsid w:val="004B3949"/>
    <w:rsid w:val="004B537F"/>
    <w:rsid w:val="004C23F3"/>
    <w:rsid w:val="004C4A6D"/>
    <w:rsid w:val="004D1E67"/>
    <w:rsid w:val="004D2A8B"/>
    <w:rsid w:val="004D7678"/>
    <w:rsid w:val="004E48D4"/>
    <w:rsid w:val="004E68EF"/>
    <w:rsid w:val="004F430D"/>
    <w:rsid w:val="004F4FA5"/>
    <w:rsid w:val="004F5998"/>
    <w:rsid w:val="00516638"/>
    <w:rsid w:val="005445AB"/>
    <w:rsid w:val="00551AE6"/>
    <w:rsid w:val="00552904"/>
    <w:rsid w:val="00556944"/>
    <w:rsid w:val="00557589"/>
    <w:rsid w:val="005614E0"/>
    <w:rsid w:val="00570578"/>
    <w:rsid w:val="00571E7D"/>
    <w:rsid w:val="00573691"/>
    <w:rsid w:val="00574A53"/>
    <w:rsid w:val="005771E3"/>
    <w:rsid w:val="005817E0"/>
    <w:rsid w:val="0058246D"/>
    <w:rsid w:val="00591D11"/>
    <w:rsid w:val="005A0265"/>
    <w:rsid w:val="005A6DA1"/>
    <w:rsid w:val="005A7270"/>
    <w:rsid w:val="005C19A6"/>
    <w:rsid w:val="005C33E2"/>
    <w:rsid w:val="005C719C"/>
    <w:rsid w:val="005E4BD6"/>
    <w:rsid w:val="005F26DA"/>
    <w:rsid w:val="005F3BBE"/>
    <w:rsid w:val="005F5367"/>
    <w:rsid w:val="005F54BA"/>
    <w:rsid w:val="005F6039"/>
    <w:rsid w:val="005F6111"/>
    <w:rsid w:val="006016C5"/>
    <w:rsid w:val="00613635"/>
    <w:rsid w:val="00617E48"/>
    <w:rsid w:val="00624FCF"/>
    <w:rsid w:val="006301A1"/>
    <w:rsid w:val="00635D02"/>
    <w:rsid w:val="00635F66"/>
    <w:rsid w:val="00641985"/>
    <w:rsid w:val="006419AD"/>
    <w:rsid w:val="006455EB"/>
    <w:rsid w:val="0065588F"/>
    <w:rsid w:val="006624B8"/>
    <w:rsid w:val="00663984"/>
    <w:rsid w:val="00672C24"/>
    <w:rsid w:val="00674328"/>
    <w:rsid w:val="00676990"/>
    <w:rsid w:val="00681647"/>
    <w:rsid w:val="00691F4F"/>
    <w:rsid w:val="00693AD6"/>
    <w:rsid w:val="006977B4"/>
    <w:rsid w:val="006A2CC0"/>
    <w:rsid w:val="006A6AA1"/>
    <w:rsid w:val="006B0413"/>
    <w:rsid w:val="006B074D"/>
    <w:rsid w:val="006B1123"/>
    <w:rsid w:val="006B1F3F"/>
    <w:rsid w:val="006B578C"/>
    <w:rsid w:val="006C46BE"/>
    <w:rsid w:val="006C67E8"/>
    <w:rsid w:val="006E0C55"/>
    <w:rsid w:val="006F3758"/>
    <w:rsid w:val="006F4B1A"/>
    <w:rsid w:val="006F4DE1"/>
    <w:rsid w:val="006F6E0C"/>
    <w:rsid w:val="00705E1F"/>
    <w:rsid w:val="00711385"/>
    <w:rsid w:val="00711EB6"/>
    <w:rsid w:val="007161DF"/>
    <w:rsid w:val="00724856"/>
    <w:rsid w:val="0073085B"/>
    <w:rsid w:val="007338A5"/>
    <w:rsid w:val="007416AF"/>
    <w:rsid w:val="007422F6"/>
    <w:rsid w:val="007429C0"/>
    <w:rsid w:val="00752A7D"/>
    <w:rsid w:val="007711CA"/>
    <w:rsid w:val="00772DEC"/>
    <w:rsid w:val="0077629D"/>
    <w:rsid w:val="007772FC"/>
    <w:rsid w:val="00777EE2"/>
    <w:rsid w:val="007815B3"/>
    <w:rsid w:val="0078362E"/>
    <w:rsid w:val="00795DBF"/>
    <w:rsid w:val="007A5A53"/>
    <w:rsid w:val="007B723C"/>
    <w:rsid w:val="007C5226"/>
    <w:rsid w:val="007C5CD0"/>
    <w:rsid w:val="007D2C50"/>
    <w:rsid w:val="007E607B"/>
    <w:rsid w:val="00807674"/>
    <w:rsid w:val="008321E2"/>
    <w:rsid w:val="00852E1A"/>
    <w:rsid w:val="00853D7F"/>
    <w:rsid w:val="008540B7"/>
    <w:rsid w:val="00854EFC"/>
    <w:rsid w:val="0085540C"/>
    <w:rsid w:val="00857297"/>
    <w:rsid w:val="00860C20"/>
    <w:rsid w:val="008672DA"/>
    <w:rsid w:val="008768E1"/>
    <w:rsid w:val="00877C0B"/>
    <w:rsid w:val="00877E4C"/>
    <w:rsid w:val="00884067"/>
    <w:rsid w:val="0089482C"/>
    <w:rsid w:val="008A2F4E"/>
    <w:rsid w:val="008A799C"/>
    <w:rsid w:val="008B1163"/>
    <w:rsid w:val="008B39AD"/>
    <w:rsid w:val="008C02FF"/>
    <w:rsid w:val="008C095C"/>
    <w:rsid w:val="008C537F"/>
    <w:rsid w:val="008D1274"/>
    <w:rsid w:val="008D3CA1"/>
    <w:rsid w:val="008E181A"/>
    <w:rsid w:val="008E795B"/>
    <w:rsid w:val="009023A7"/>
    <w:rsid w:val="00917B03"/>
    <w:rsid w:val="00921BBC"/>
    <w:rsid w:val="00931972"/>
    <w:rsid w:val="00931DCF"/>
    <w:rsid w:val="00932ED4"/>
    <w:rsid w:val="00933C83"/>
    <w:rsid w:val="0093518E"/>
    <w:rsid w:val="0093537D"/>
    <w:rsid w:val="009415EA"/>
    <w:rsid w:val="009425DE"/>
    <w:rsid w:val="009441D4"/>
    <w:rsid w:val="00944690"/>
    <w:rsid w:val="00952434"/>
    <w:rsid w:val="009531A3"/>
    <w:rsid w:val="009600F9"/>
    <w:rsid w:val="009615FA"/>
    <w:rsid w:val="009653EB"/>
    <w:rsid w:val="00987111"/>
    <w:rsid w:val="009967FB"/>
    <w:rsid w:val="009973D5"/>
    <w:rsid w:val="009A3702"/>
    <w:rsid w:val="009A3721"/>
    <w:rsid w:val="009B0782"/>
    <w:rsid w:val="009B13BF"/>
    <w:rsid w:val="009B2C1A"/>
    <w:rsid w:val="009C0140"/>
    <w:rsid w:val="009C3B17"/>
    <w:rsid w:val="009D40BF"/>
    <w:rsid w:val="009D531E"/>
    <w:rsid w:val="009D5C8F"/>
    <w:rsid w:val="009F0700"/>
    <w:rsid w:val="009F2C75"/>
    <w:rsid w:val="009F41EB"/>
    <w:rsid w:val="00A120AC"/>
    <w:rsid w:val="00A24170"/>
    <w:rsid w:val="00A37C05"/>
    <w:rsid w:val="00A4193C"/>
    <w:rsid w:val="00A573C2"/>
    <w:rsid w:val="00A715E6"/>
    <w:rsid w:val="00A722E9"/>
    <w:rsid w:val="00A76FB4"/>
    <w:rsid w:val="00A82CF3"/>
    <w:rsid w:val="00A83309"/>
    <w:rsid w:val="00A9492C"/>
    <w:rsid w:val="00A97F2B"/>
    <w:rsid w:val="00AA7DE3"/>
    <w:rsid w:val="00AB22D3"/>
    <w:rsid w:val="00AB33A7"/>
    <w:rsid w:val="00AB4D55"/>
    <w:rsid w:val="00AB6BAC"/>
    <w:rsid w:val="00AC11A2"/>
    <w:rsid w:val="00AC1B08"/>
    <w:rsid w:val="00AC2231"/>
    <w:rsid w:val="00AC61DA"/>
    <w:rsid w:val="00AC6A6D"/>
    <w:rsid w:val="00AD0C90"/>
    <w:rsid w:val="00AD1A1D"/>
    <w:rsid w:val="00AE7D48"/>
    <w:rsid w:val="00AF0E9B"/>
    <w:rsid w:val="00AF380C"/>
    <w:rsid w:val="00AF5610"/>
    <w:rsid w:val="00B0275E"/>
    <w:rsid w:val="00B02969"/>
    <w:rsid w:val="00B3042B"/>
    <w:rsid w:val="00B31A83"/>
    <w:rsid w:val="00B45337"/>
    <w:rsid w:val="00B539F5"/>
    <w:rsid w:val="00B542B4"/>
    <w:rsid w:val="00B71227"/>
    <w:rsid w:val="00B72B9C"/>
    <w:rsid w:val="00B7519D"/>
    <w:rsid w:val="00B814EB"/>
    <w:rsid w:val="00B84942"/>
    <w:rsid w:val="00B8606E"/>
    <w:rsid w:val="00B92A10"/>
    <w:rsid w:val="00BA2A88"/>
    <w:rsid w:val="00BA48B5"/>
    <w:rsid w:val="00BB0869"/>
    <w:rsid w:val="00BB3847"/>
    <w:rsid w:val="00BB6674"/>
    <w:rsid w:val="00BB7011"/>
    <w:rsid w:val="00BD1827"/>
    <w:rsid w:val="00BD4F0A"/>
    <w:rsid w:val="00BE246B"/>
    <w:rsid w:val="00BF2E60"/>
    <w:rsid w:val="00BF7679"/>
    <w:rsid w:val="00C056DB"/>
    <w:rsid w:val="00C25A51"/>
    <w:rsid w:val="00C30749"/>
    <w:rsid w:val="00C33432"/>
    <w:rsid w:val="00C34455"/>
    <w:rsid w:val="00C3486D"/>
    <w:rsid w:val="00C37A79"/>
    <w:rsid w:val="00C406D3"/>
    <w:rsid w:val="00C44411"/>
    <w:rsid w:val="00C4692D"/>
    <w:rsid w:val="00C52DDD"/>
    <w:rsid w:val="00C56845"/>
    <w:rsid w:val="00C57BD3"/>
    <w:rsid w:val="00C60E86"/>
    <w:rsid w:val="00C61380"/>
    <w:rsid w:val="00C65CC2"/>
    <w:rsid w:val="00C71765"/>
    <w:rsid w:val="00C73826"/>
    <w:rsid w:val="00C80523"/>
    <w:rsid w:val="00C82D3C"/>
    <w:rsid w:val="00C8441B"/>
    <w:rsid w:val="00C85922"/>
    <w:rsid w:val="00C914FF"/>
    <w:rsid w:val="00C95EDC"/>
    <w:rsid w:val="00CB041D"/>
    <w:rsid w:val="00CB510A"/>
    <w:rsid w:val="00CC30E5"/>
    <w:rsid w:val="00CC5BAD"/>
    <w:rsid w:val="00CD1639"/>
    <w:rsid w:val="00CD74C1"/>
    <w:rsid w:val="00CE4111"/>
    <w:rsid w:val="00CF28CC"/>
    <w:rsid w:val="00D11585"/>
    <w:rsid w:val="00D31611"/>
    <w:rsid w:val="00D44F11"/>
    <w:rsid w:val="00D50623"/>
    <w:rsid w:val="00D551A5"/>
    <w:rsid w:val="00D61F84"/>
    <w:rsid w:val="00D65F3B"/>
    <w:rsid w:val="00D71E90"/>
    <w:rsid w:val="00D73C80"/>
    <w:rsid w:val="00D762A0"/>
    <w:rsid w:val="00D764FB"/>
    <w:rsid w:val="00D8184F"/>
    <w:rsid w:val="00D843D4"/>
    <w:rsid w:val="00DA63E4"/>
    <w:rsid w:val="00DC3123"/>
    <w:rsid w:val="00DC59CE"/>
    <w:rsid w:val="00DD362E"/>
    <w:rsid w:val="00DE1CBF"/>
    <w:rsid w:val="00DE5005"/>
    <w:rsid w:val="00DE5009"/>
    <w:rsid w:val="00DE7EC8"/>
    <w:rsid w:val="00DF3B76"/>
    <w:rsid w:val="00DF7B6E"/>
    <w:rsid w:val="00E10A52"/>
    <w:rsid w:val="00E11745"/>
    <w:rsid w:val="00E34EA7"/>
    <w:rsid w:val="00E46E28"/>
    <w:rsid w:val="00E4742D"/>
    <w:rsid w:val="00E577A4"/>
    <w:rsid w:val="00E6281F"/>
    <w:rsid w:val="00E62CDB"/>
    <w:rsid w:val="00E706DB"/>
    <w:rsid w:val="00E73112"/>
    <w:rsid w:val="00E75742"/>
    <w:rsid w:val="00E825AE"/>
    <w:rsid w:val="00E8691A"/>
    <w:rsid w:val="00E94708"/>
    <w:rsid w:val="00EB50A1"/>
    <w:rsid w:val="00EB7635"/>
    <w:rsid w:val="00ED2FB1"/>
    <w:rsid w:val="00ED76C1"/>
    <w:rsid w:val="00EF1FC4"/>
    <w:rsid w:val="00EF5B4D"/>
    <w:rsid w:val="00F007D0"/>
    <w:rsid w:val="00F116E9"/>
    <w:rsid w:val="00F15A9C"/>
    <w:rsid w:val="00F26C1D"/>
    <w:rsid w:val="00F32F7D"/>
    <w:rsid w:val="00F353EB"/>
    <w:rsid w:val="00F360A1"/>
    <w:rsid w:val="00F60BDB"/>
    <w:rsid w:val="00F621D8"/>
    <w:rsid w:val="00F64874"/>
    <w:rsid w:val="00F653A8"/>
    <w:rsid w:val="00F77282"/>
    <w:rsid w:val="00F85C0F"/>
    <w:rsid w:val="00F8607D"/>
    <w:rsid w:val="00F87856"/>
    <w:rsid w:val="00F976FD"/>
    <w:rsid w:val="00FA05A1"/>
    <w:rsid w:val="00FA296F"/>
    <w:rsid w:val="00FA5908"/>
    <w:rsid w:val="00FB18FB"/>
    <w:rsid w:val="00FB3AAC"/>
    <w:rsid w:val="00FB5505"/>
    <w:rsid w:val="00FB76BC"/>
    <w:rsid w:val="00FC2229"/>
    <w:rsid w:val="00FC3155"/>
    <w:rsid w:val="00FC43C1"/>
    <w:rsid w:val="00FC509D"/>
    <w:rsid w:val="00FD3941"/>
    <w:rsid w:val="00FD3983"/>
    <w:rsid w:val="00FD6489"/>
    <w:rsid w:val="00FE5EF2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8D1EB4"/>
  <w15:docId w15:val="{5AFCD64D-1EF4-4D62-8C0C-E861D456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5F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7A6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7B723C"/>
    <w:pPr>
      <w:widowControl w:val="0"/>
      <w:spacing w:after="0" w:line="240" w:lineRule="auto"/>
      <w:ind w:left="101"/>
      <w:jc w:val="both"/>
    </w:pPr>
    <w:rPr>
      <w:rFonts w:ascii="Arial" w:eastAsia="Arial" w:hAnsi="Arial" w:cs="Arial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B723C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CorpodetextoChar">
    <w:name w:val="Corpo de texto Char"/>
    <w:link w:val="Corpodetexto"/>
    <w:uiPriority w:val="1"/>
    <w:rsid w:val="007B723C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7B7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65D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D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5D0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D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D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A107-98F2-4E45-906D-A33CD8B6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2031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manutencao</dc:creator>
  <cp:lastModifiedBy>Renata Fernandes Cantafio de Sousa</cp:lastModifiedBy>
  <cp:revision>6</cp:revision>
  <cp:lastPrinted>2018-05-23T13:21:00Z</cp:lastPrinted>
  <dcterms:created xsi:type="dcterms:W3CDTF">2018-05-29T13:08:00Z</dcterms:created>
  <dcterms:modified xsi:type="dcterms:W3CDTF">2018-05-29T14:03:00Z</dcterms:modified>
</cp:coreProperties>
</file>